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E278" w14:textId="67DF7511" w:rsidR="000A2056" w:rsidRDefault="001C5A1B" w:rsidP="006829A5">
      <w:pPr>
        <w:rPr>
          <w:lang w:val="en-US"/>
        </w:rPr>
      </w:pPr>
      <w:r>
        <w:rPr>
          <w:lang w:val="en-US"/>
        </w:rPr>
        <w:t>2 Literature review</w:t>
      </w:r>
    </w:p>
    <w:p w14:paraId="0EE4B05D" w14:textId="06502500" w:rsidR="001C5A1B" w:rsidRDefault="001C5A1B" w:rsidP="006829A5">
      <w:pPr>
        <w:rPr>
          <w:lang w:val="en-US"/>
        </w:rPr>
      </w:pPr>
      <w:r>
        <w:rPr>
          <w:lang w:val="en-US"/>
        </w:rPr>
        <w:t>2.1 Gamification in sustainable mobility and TDM</w:t>
      </w:r>
    </w:p>
    <w:p w14:paraId="0D5564F1" w14:textId="744234A3" w:rsidR="001C5A1B" w:rsidRDefault="001C5A1B" w:rsidP="006829A5">
      <w:pPr>
        <w:rPr>
          <w:lang w:val="en-US"/>
        </w:rPr>
      </w:pPr>
      <w:r>
        <w:rPr>
          <w:lang w:val="en-US"/>
        </w:rPr>
        <w:t>(Definitions, gamifiication elements, behavioral mechanisms, platform design approaches)</w:t>
      </w:r>
    </w:p>
    <w:p w14:paraId="0043C912" w14:textId="4D96D97C" w:rsidR="00F168F5" w:rsidRPr="00970DC3" w:rsidRDefault="00F168F5" w:rsidP="00970DC3">
      <w:pPr>
        <w:jc w:val="both"/>
        <w:rPr>
          <w:lang w:val="en-US"/>
        </w:rPr>
      </w:pPr>
      <w:r w:rsidRPr="00F168F5">
        <w:rPr>
          <w:lang w:val="en-US"/>
        </w:rPr>
        <w:t xml:space="preserve">Gamification refers to the use of game design elements in non-game contexts to promote user engagement and influence behavior </w:t>
      </w:r>
      <w:r w:rsidRPr="00970DC3">
        <w:rPr>
          <w:color w:val="70AD47" w:themeColor="accent6"/>
          <w:lang w:val="en-US"/>
        </w:rPr>
        <w:t xml:space="preserve">(Deterding et al., 2011). </w:t>
      </w:r>
      <w:r w:rsidRPr="00F168F5">
        <w:rPr>
          <w:lang w:val="en-US"/>
        </w:rPr>
        <w:t xml:space="preserve">In the context of Transportation Demand Management (TDM), gamification-based systems have increasingly been adopted to encourage the use of more sustainable </w:t>
      </w:r>
      <w:r w:rsidR="00C60AB4">
        <w:rPr>
          <w:lang w:val="en-US"/>
        </w:rPr>
        <w:t>transport</w:t>
      </w:r>
      <w:r w:rsidRPr="00F168F5">
        <w:rPr>
          <w:lang w:val="en-US"/>
        </w:rPr>
        <w:t xml:space="preserve"> modes such as public transport, cycling, walking, carpooling, and other shared mobility solutions. The rapid diffusion of smartphones and mobile sensing technologies has enabled the implementation of digital mobility platforms capable of tracking trips, providing real-time feedback, assigning rewards, and monitoring individual environmental impacts (</w:t>
      </w:r>
      <w:r w:rsidRPr="00027DEC">
        <w:rPr>
          <w:color w:val="70AD47" w:themeColor="accent6"/>
          <w:lang w:val="en-US"/>
        </w:rPr>
        <w:t>Andersson et al., 2018</w:t>
      </w:r>
      <w:r w:rsidRPr="00F168F5">
        <w:rPr>
          <w:lang w:val="en-US"/>
        </w:rPr>
        <w:t>).</w:t>
      </w:r>
      <w:r w:rsidR="00970DC3">
        <w:rPr>
          <w:lang w:val="en-US"/>
        </w:rPr>
        <w:t xml:space="preserve"> At same time, many studies evaluated smartphones</w:t>
      </w:r>
      <w:r w:rsidR="00C60AB4">
        <w:rPr>
          <w:lang w:val="en-US"/>
        </w:rPr>
        <w:t>’</w:t>
      </w:r>
      <w:r w:rsidR="00970DC3">
        <w:rPr>
          <w:lang w:val="en-US"/>
        </w:rPr>
        <w:t xml:space="preserve"> potential for behaviour change and promoting sustainable modes of transport </w:t>
      </w:r>
      <w:r w:rsidR="00970DC3" w:rsidRPr="00970DC3">
        <w:rPr>
          <w:lang w:val="en-US"/>
        </w:rPr>
        <w:t>(</w:t>
      </w:r>
      <w:r w:rsidR="00970DC3" w:rsidRPr="00607DB2">
        <w:rPr>
          <w:color w:val="70AD47" w:themeColor="accent6"/>
          <w:lang w:val="en-US"/>
        </w:rPr>
        <w:t>Parvaneh et al., 2014; Poslad et al., 2015; Castellanos, 2016</w:t>
      </w:r>
      <w:r w:rsidR="00970DC3" w:rsidRPr="00970DC3">
        <w:rPr>
          <w:lang w:val="en-US"/>
        </w:rPr>
        <w:t>).</w:t>
      </w:r>
    </w:p>
    <w:p w14:paraId="43855D3A" w14:textId="33C8BF63" w:rsidR="00F168F5" w:rsidRPr="00F168F5" w:rsidRDefault="00F168F5" w:rsidP="007B1101">
      <w:pPr>
        <w:jc w:val="both"/>
        <w:rPr>
          <w:lang w:val="en-US"/>
        </w:rPr>
      </w:pPr>
      <w:r w:rsidRPr="00F168F5">
        <w:rPr>
          <w:lang w:val="en-US"/>
        </w:rPr>
        <w:t>Recent literature highlights that most gamified mobility systems rely on a relatively consistent set of game design mechanisms centered around performance-based and social elements</w:t>
      </w:r>
      <w:r w:rsidR="008D4299">
        <w:rPr>
          <w:lang w:val="en-US"/>
        </w:rPr>
        <w:t xml:space="preserve"> </w:t>
      </w:r>
      <w:r w:rsidR="002252BD" w:rsidRPr="008F361D">
        <w:rPr>
          <w:color w:val="70AD47" w:themeColor="accent6"/>
          <w:lang w:val="en-US"/>
        </w:rPr>
        <w:t>(Bassanelli et al., 2025)</w:t>
      </w:r>
      <w:r w:rsidRPr="008F361D">
        <w:rPr>
          <w:color w:val="70AD47" w:themeColor="accent6"/>
          <w:lang w:val="en-US"/>
        </w:rPr>
        <w:t xml:space="preserve">. </w:t>
      </w:r>
      <w:r w:rsidR="00556CCC" w:rsidRPr="00F168F5">
        <w:rPr>
          <w:lang w:val="en-US"/>
        </w:rPr>
        <w:t xml:space="preserve">Within this context, gamified mobility platforms commonly employ points and rewards to reinforce sustainable travel behavior, while leaderboards and rankings introduce a social dimension that allows users to compare their performance with that of other participants. According to the literature, these social comparison mechanisms may increase engagement and participation by leveraging competition, social recognition, and community influence </w:t>
      </w:r>
      <w:r w:rsidR="00556CCC" w:rsidRPr="00556CCC">
        <w:rPr>
          <w:color w:val="70AD47" w:themeColor="accent6"/>
          <w:lang w:val="en-US"/>
        </w:rPr>
        <w:t>(Oyibo &amp; Vassileva, 2017</w:t>
      </w:r>
      <w:r w:rsidR="00556CCC" w:rsidRPr="00F168F5">
        <w:rPr>
          <w:lang w:val="en-US"/>
        </w:rPr>
        <w:t>)</w:t>
      </w:r>
      <w:r w:rsidRPr="00F168F5">
        <w:rPr>
          <w:lang w:val="en-US"/>
        </w:rPr>
        <w:t xml:space="preserve">. </w:t>
      </w:r>
      <w:r w:rsidR="00075A2B" w:rsidRPr="008F361D">
        <w:rPr>
          <w:color w:val="70AD47" w:themeColor="accent6"/>
          <w:lang w:val="en-US"/>
        </w:rPr>
        <w:t xml:space="preserve">Bassanelli et al., 2025 </w:t>
      </w:r>
      <w:r w:rsidR="00075A2B">
        <w:rPr>
          <w:lang w:val="en-US"/>
        </w:rPr>
        <w:t>further</w:t>
      </w:r>
      <w:r w:rsidR="00075A2B" w:rsidRPr="00F168F5">
        <w:rPr>
          <w:lang w:val="en-US"/>
        </w:rPr>
        <w:t xml:space="preserve"> </w:t>
      </w:r>
      <w:r w:rsidRPr="00F168F5">
        <w:rPr>
          <w:lang w:val="en-US"/>
        </w:rPr>
        <w:t xml:space="preserve">shows that </w:t>
      </w:r>
      <w:r w:rsidR="00075A2B">
        <w:rPr>
          <w:lang w:val="en-US"/>
        </w:rPr>
        <w:t>in the recent gamification applications tailored at promoting sustainable modes of transport,</w:t>
      </w:r>
      <w:r w:rsidRPr="00F168F5">
        <w:rPr>
          <w:lang w:val="en-US"/>
        </w:rPr>
        <w:t xml:space="preserve"> more personalized and contextualized mechanisms remain relatively underdeveloped. </w:t>
      </w:r>
    </w:p>
    <w:p w14:paraId="72B04F6B" w14:textId="45839D6D" w:rsidR="00A877C3" w:rsidRDefault="00F168F5" w:rsidP="00A877C3">
      <w:pPr>
        <w:jc w:val="both"/>
        <w:rPr>
          <w:lang w:val="en-US"/>
        </w:rPr>
      </w:pPr>
      <w:r w:rsidRPr="00F168F5">
        <w:rPr>
          <w:lang w:val="en-US"/>
        </w:rPr>
        <w:t xml:space="preserve">Furthermore, </w:t>
      </w:r>
      <w:r w:rsidR="00A877C3">
        <w:rPr>
          <w:lang w:val="en-US"/>
        </w:rPr>
        <w:t xml:space="preserve">another underdeveloped aspect according to the literature, is the integration of </w:t>
      </w:r>
      <w:r w:rsidR="00A877C3" w:rsidRPr="00F168F5">
        <w:rPr>
          <w:lang w:val="en-US"/>
        </w:rPr>
        <w:t>environmental feedback mechanisms</w:t>
      </w:r>
      <w:r w:rsidR="00A877C3">
        <w:rPr>
          <w:lang w:val="en-US"/>
        </w:rPr>
        <w:t xml:space="preserve"> </w:t>
      </w:r>
      <w:r w:rsidR="00A877C3" w:rsidRPr="00F168F5">
        <w:rPr>
          <w:lang w:val="en-US"/>
        </w:rPr>
        <w:t>such as avoided CO2 emissions or resource-saving indicators, with the objective of increasing environmental awareness and making the consequences of individual mobility choices more visible to users</w:t>
      </w:r>
      <w:r w:rsidR="00A877C3">
        <w:rPr>
          <w:lang w:val="en-US"/>
        </w:rPr>
        <w:t>. Among many studies on gamification applications, only a few have addressed the importance of these mechanisms in the application design (</w:t>
      </w:r>
      <w:r w:rsidR="00A877C3" w:rsidRPr="00A877C3">
        <w:rPr>
          <w:color w:val="70AD47" w:themeColor="accent6"/>
          <w:lang w:val="en-US"/>
        </w:rPr>
        <w:t>Bassanelli et al., 2024a; Bucchiarone et al., 2023a</w:t>
      </w:r>
      <w:r w:rsidR="00A877C3">
        <w:rPr>
          <w:lang w:val="en-US"/>
        </w:rPr>
        <w:t>)</w:t>
      </w:r>
      <w:r w:rsidR="00D16CEB">
        <w:rPr>
          <w:lang w:val="en-US"/>
        </w:rPr>
        <w:t>.</w:t>
      </w:r>
    </w:p>
    <w:p w14:paraId="728C8BC6" w14:textId="3CA31023" w:rsidR="00080EB1" w:rsidRPr="00080EB1" w:rsidRDefault="00080EB1" w:rsidP="00D409B9">
      <w:pPr>
        <w:jc w:val="both"/>
        <w:rPr>
          <w:lang w:val="en-US"/>
        </w:rPr>
      </w:pPr>
      <w:r w:rsidRPr="00080EB1">
        <w:rPr>
          <w:lang w:val="en-US"/>
        </w:rPr>
        <w:t>Existing literature also shows that most gamified mobility interventions are directed toward the general population</w:t>
      </w:r>
      <w:r>
        <w:rPr>
          <w:lang w:val="en-US"/>
        </w:rPr>
        <w:t xml:space="preserve"> </w:t>
      </w:r>
      <w:r w:rsidRPr="00080EB1">
        <w:rPr>
          <w:lang w:val="en-US"/>
        </w:rPr>
        <w:t>while relatively fewer studies focus on</w:t>
      </w:r>
      <w:r>
        <w:rPr>
          <w:lang w:val="en-US"/>
        </w:rPr>
        <w:t xml:space="preserve"> specific demographics such as commuters</w:t>
      </w:r>
      <w:r w:rsidR="004B7B0D">
        <w:rPr>
          <w:lang w:val="en-US"/>
        </w:rPr>
        <w:t xml:space="preserve"> (</w:t>
      </w:r>
      <w:r w:rsidR="004B7B0D" w:rsidRPr="004B7B0D">
        <w:rPr>
          <w:color w:val="70AD47" w:themeColor="accent6"/>
          <w:lang w:val="en-US"/>
        </w:rPr>
        <w:t>Bowden &amp; Hellen, 2019; Kazhamiakin et al., 2015; Khoshkangini et al., 2021</w:t>
      </w:r>
      <w:r w:rsidR="004B7B0D">
        <w:rPr>
          <w:lang w:val="en-US"/>
        </w:rPr>
        <w:t>)</w:t>
      </w:r>
      <w:r>
        <w:rPr>
          <w:lang w:val="en-US"/>
        </w:rPr>
        <w:t>, teachers</w:t>
      </w:r>
      <w:r w:rsidR="00376AE5">
        <w:rPr>
          <w:lang w:val="en-US"/>
        </w:rPr>
        <w:t xml:space="preserve"> (</w:t>
      </w:r>
      <w:r w:rsidR="00376AE5" w:rsidRPr="00D409B9">
        <w:rPr>
          <w:color w:val="70AD47" w:themeColor="accent6"/>
          <w:lang w:val="en-US"/>
        </w:rPr>
        <w:t>Bassanelli et al., 2024a; Biondi et al., 2022; Bucchiarone et al., 2023a</w:t>
      </w:r>
      <w:r w:rsidR="00376AE5">
        <w:rPr>
          <w:lang w:val="en-US"/>
        </w:rPr>
        <w:t>)</w:t>
      </w:r>
      <w:r w:rsidR="00D409B9">
        <w:rPr>
          <w:lang w:val="en-US"/>
        </w:rPr>
        <w:t>, schoolers (</w:t>
      </w:r>
      <w:r w:rsidR="00D409B9" w:rsidRPr="00D409B9">
        <w:rPr>
          <w:color w:val="70AD47" w:themeColor="accent6"/>
          <w:lang w:val="en-US"/>
        </w:rPr>
        <w:t xml:space="preserve">Bassanelli et al., 2024a; Bucchiarone et al., 2023a, Biondi et al., 2022; Rogelj et al., 2024) </w:t>
      </w:r>
      <w:r>
        <w:rPr>
          <w:lang w:val="en-US"/>
        </w:rPr>
        <w:t>etc.</w:t>
      </w:r>
    </w:p>
    <w:p w14:paraId="02F77986" w14:textId="73E82389" w:rsidR="00F168F5" w:rsidRPr="00F168F5" w:rsidRDefault="00F168F5" w:rsidP="007B1101">
      <w:pPr>
        <w:jc w:val="both"/>
        <w:rPr>
          <w:lang w:val="en-US"/>
        </w:rPr>
      </w:pPr>
      <w:r w:rsidRPr="00F168F5">
        <w:rPr>
          <w:lang w:val="en-US"/>
        </w:rPr>
        <w:t>The gamification platform analyzed in this study follows many of the design principles identified in the literature</w:t>
      </w:r>
      <w:r w:rsidR="00723EC0">
        <w:rPr>
          <w:lang w:val="en-US"/>
        </w:rPr>
        <w:t xml:space="preserve"> with a focus on a dedicated commuting group which include employees of a company in italy</w:t>
      </w:r>
      <w:r w:rsidRPr="00F168F5">
        <w:rPr>
          <w:lang w:val="en-US"/>
        </w:rPr>
        <w:t xml:space="preserve">. Employees were able to report commuting trips by selecting among multiple transport modes and combinations of modes, including car, bus, motorcycle, walking, bike, train, and tram. Sustainable trips generated points based on travelled distance and predefined business rules, and accumulated points could subsequently be redeemed for rewards within the platform. The system also integrated a carpooling application </w:t>
      </w:r>
      <w:r w:rsidR="0095292F">
        <w:rPr>
          <w:lang w:val="en-US"/>
        </w:rPr>
        <w:t>enabling the employees to earn points and rewards, carpooling to work with their coworkers</w:t>
      </w:r>
      <w:r w:rsidRPr="00F168F5">
        <w:rPr>
          <w:lang w:val="en-US"/>
        </w:rPr>
        <w:t>. In line with the dominant approaches identified in the literature, the platform combined performance-based elements, including points and rewards, with social mechanisms such as leaderboards and rankings. In addition, the application provided users with environmental indicators related to produced and avoided CO2 emissions, allowing employees to visualize the environmental impact associated with their commuting behavior.</w:t>
      </w:r>
    </w:p>
    <w:p w14:paraId="03489CC5" w14:textId="77777777" w:rsidR="003D2C19" w:rsidRDefault="003D2C19" w:rsidP="00BE34AF">
      <w:pPr>
        <w:jc w:val="both"/>
        <w:rPr>
          <w:lang w:val="en-US"/>
        </w:rPr>
      </w:pPr>
    </w:p>
    <w:p w14:paraId="53B2EA05" w14:textId="530AC2F3" w:rsidR="003D2C19" w:rsidRPr="003D2C19" w:rsidRDefault="003D2C19" w:rsidP="00BE34AF">
      <w:pPr>
        <w:jc w:val="both"/>
        <w:rPr>
          <w:b/>
          <w:bCs/>
          <w:lang w:val="en-US"/>
        </w:rPr>
      </w:pPr>
      <w:r>
        <w:rPr>
          <w:b/>
          <w:bCs/>
          <w:lang w:val="en-US"/>
        </w:rPr>
        <w:lastRenderedPageBreak/>
        <w:t>Could be classified as the effects of a gamification application</w:t>
      </w:r>
      <w:r w:rsidR="00430AAD">
        <w:rPr>
          <w:b/>
          <w:bCs/>
          <w:lang w:val="en-US"/>
        </w:rPr>
        <w:t>:</w:t>
      </w:r>
    </w:p>
    <w:p w14:paraId="6AFDB49C" w14:textId="13B2F6CE" w:rsidR="00F168F5" w:rsidRPr="00F168F5" w:rsidRDefault="00F168F5" w:rsidP="00BE34AF">
      <w:pPr>
        <w:jc w:val="both"/>
        <w:rPr>
          <w:lang w:val="en-US"/>
        </w:rPr>
      </w:pPr>
      <w:r w:rsidRPr="00F168F5">
        <w:rPr>
          <w:lang w:val="en-US"/>
        </w:rPr>
        <w:t xml:space="preserve">Despite the growing popularity of gamification-based mobility systems, several limitations have been identified in the literature. Existing studies suggest that many platforms rely heavily on extrinsic motivators such as rewards, vouchers, discounts, and competition-based systems, while mechanisms capable of fostering intrinsic motivation and long-term behavioral retention remain less explored. The review by Bassanelli et al. further highlights that most systems adopt relatively standardized one-size-fits-all approaches, despite substantial differences in user characteristics, mobility constraints, accessibility conditions, and commuting contexts. Several authors therefore emphasize the importance of personalization and context-aware gamification strategies, arguing that the effectiveness of gameful systems depends strongly on the interaction between game elements, user characteristics, and environmental constraints (Koivisto &amp; Hamari, 2019; </w:t>
      </w:r>
      <w:r w:rsidR="00BE34AF" w:rsidRPr="00BE34AF">
        <w:rPr>
          <w:lang w:val="en-US"/>
        </w:rPr>
        <w:t>Tondello et al., 2018</w:t>
      </w:r>
      <w:r w:rsidR="00BE34AF">
        <w:rPr>
          <w:lang w:val="en-US"/>
        </w:rPr>
        <w:t xml:space="preserve">, </w:t>
      </w:r>
      <w:r w:rsidR="00BE34AF" w:rsidRPr="00BE34AF">
        <w:rPr>
          <w:lang w:val="en-US"/>
        </w:rPr>
        <w:t>Bassanelli et al., 2024b</w:t>
      </w:r>
      <w:r w:rsidRPr="00F168F5">
        <w:rPr>
          <w:lang w:val="en-US"/>
        </w:rPr>
        <w:t>).</w:t>
      </w:r>
    </w:p>
    <w:p w14:paraId="2206C7F3" w14:textId="77777777" w:rsidR="00F168F5" w:rsidRPr="00F168F5" w:rsidRDefault="00F168F5" w:rsidP="007B1101">
      <w:pPr>
        <w:jc w:val="both"/>
        <w:rPr>
          <w:lang w:val="en-US"/>
        </w:rPr>
      </w:pPr>
      <w:r w:rsidRPr="00F168F5">
        <w:rPr>
          <w:lang w:val="en-US"/>
        </w:rPr>
        <w:t>Overall, the literature suggests that gamification-based TDM systems can improve user engagement and stimulate short- to medium-term experimentation with sustainable mobility alternatives. However, evidence regarding their ability to produce persistent long-term behavioral change remains mixed, particularly when such interventions are implemented uniformly across heterogeneous populations characterized by different accessibility conditions, commuting distances, and structural mobility constraints.</w:t>
      </w:r>
    </w:p>
    <w:p w14:paraId="7B59238E" w14:textId="77777777" w:rsidR="00C959F6" w:rsidRDefault="00C959F6" w:rsidP="006829A5">
      <w:pPr>
        <w:rPr>
          <w:lang w:val="en-US"/>
        </w:rPr>
      </w:pPr>
    </w:p>
    <w:p w14:paraId="5C61302D" w14:textId="44D96560" w:rsidR="001C5A1B" w:rsidRDefault="001C5A1B" w:rsidP="006829A5">
      <w:pPr>
        <w:rPr>
          <w:lang w:val="en-US"/>
        </w:rPr>
      </w:pPr>
      <w:r>
        <w:rPr>
          <w:lang w:val="en-US"/>
        </w:rPr>
        <w:t>2.2 Effects and outcomes</w:t>
      </w:r>
    </w:p>
    <w:p w14:paraId="76069872" w14:textId="69A6A6F1" w:rsidR="001C5A1B" w:rsidRPr="006829A5" w:rsidRDefault="001C5A1B" w:rsidP="006829A5">
      <w:pPr>
        <w:rPr>
          <w:lang w:val="en-US"/>
        </w:rPr>
      </w:pPr>
      <w:r>
        <w:rPr>
          <w:lang w:val="en-US"/>
        </w:rPr>
        <w:t>(engagement and short-term effects, limitations, constraints, heterogeneity and segmentation, gap)</w:t>
      </w:r>
    </w:p>
    <w:sectPr w:rsidR="001C5A1B" w:rsidRPr="006829A5">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129E3"/>
    <w:multiLevelType w:val="hybridMultilevel"/>
    <w:tmpl w:val="3A7ABCD6"/>
    <w:lvl w:ilvl="0" w:tplc="FE76AC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94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F3"/>
    <w:rsid w:val="00027DEC"/>
    <w:rsid w:val="00034BE6"/>
    <w:rsid w:val="00075A2B"/>
    <w:rsid w:val="00080EB1"/>
    <w:rsid w:val="000A2056"/>
    <w:rsid w:val="000F6C33"/>
    <w:rsid w:val="001201BB"/>
    <w:rsid w:val="001C5A1B"/>
    <w:rsid w:val="002014C2"/>
    <w:rsid w:val="002252BD"/>
    <w:rsid w:val="003205B3"/>
    <w:rsid w:val="00376AE5"/>
    <w:rsid w:val="0039310B"/>
    <w:rsid w:val="003D2C19"/>
    <w:rsid w:val="004010AF"/>
    <w:rsid w:val="00430AAD"/>
    <w:rsid w:val="00492A74"/>
    <w:rsid w:val="004B7B0D"/>
    <w:rsid w:val="00517A91"/>
    <w:rsid w:val="00556CCC"/>
    <w:rsid w:val="00607DB2"/>
    <w:rsid w:val="00651168"/>
    <w:rsid w:val="00681F6E"/>
    <w:rsid w:val="006829A5"/>
    <w:rsid w:val="006C01F4"/>
    <w:rsid w:val="006C1BC7"/>
    <w:rsid w:val="00723EC0"/>
    <w:rsid w:val="0073258B"/>
    <w:rsid w:val="007B1101"/>
    <w:rsid w:val="007C0632"/>
    <w:rsid w:val="007C3196"/>
    <w:rsid w:val="008B4BBF"/>
    <w:rsid w:val="008D4299"/>
    <w:rsid w:val="008F361D"/>
    <w:rsid w:val="008F3A23"/>
    <w:rsid w:val="00902297"/>
    <w:rsid w:val="00935F0D"/>
    <w:rsid w:val="0095292F"/>
    <w:rsid w:val="00970DC3"/>
    <w:rsid w:val="00A359D0"/>
    <w:rsid w:val="00A877C3"/>
    <w:rsid w:val="00AD3D99"/>
    <w:rsid w:val="00B028A3"/>
    <w:rsid w:val="00B6049E"/>
    <w:rsid w:val="00BE34AF"/>
    <w:rsid w:val="00C12759"/>
    <w:rsid w:val="00C60AB4"/>
    <w:rsid w:val="00C7556C"/>
    <w:rsid w:val="00C959F6"/>
    <w:rsid w:val="00D006F3"/>
    <w:rsid w:val="00D16CEB"/>
    <w:rsid w:val="00D409B9"/>
    <w:rsid w:val="00E51549"/>
    <w:rsid w:val="00F168F5"/>
    <w:rsid w:val="00F17735"/>
    <w:rsid w:val="00F20F98"/>
    <w:rsid w:val="00F92272"/>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E4E8B"/>
  <w15:chartTrackingRefBased/>
  <w15:docId w15:val="{1AF928C3-833A-4F35-80A4-ABAF4815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6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6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6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6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6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6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6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6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6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6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6F3"/>
    <w:rPr>
      <w:rFonts w:eastAsiaTheme="majorEastAsia" w:cstheme="majorBidi"/>
      <w:color w:val="272727" w:themeColor="text1" w:themeTint="D8"/>
    </w:rPr>
  </w:style>
  <w:style w:type="paragraph" w:styleId="Title">
    <w:name w:val="Title"/>
    <w:basedOn w:val="Normal"/>
    <w:next w:val="Normal"/>
    <w:link w:val="TitleChar"/>
    <w:uiPriority w:val="10"/>
    <w:qFormat/>
    <w:rsid w:val="00D00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6F3"/>
    <w:pPr>
      <w:spacing w:before="160"/>
      <w:jc w:val="center"/>
    </w:pPr>
    <w:rPr>
      <w:i/>
      <w:iCs/>
      <w:color w:val="404040" w:themeColor="text1" w:themeTint="BF"/>
    </w:rPr>
  </w:style>
  <w:style w:type="character" w:customStyle="1" w:styleId="QuoteChar">
    <w:name w:val="Quote Char"/>
    <w:basedOn w:val="DefaultParagraphFont"/>
    <w:link w:val="Quote"/>
    <w:uiPriority w:val="29"/>
    <w:rsid w:val="00D006F3"/>
    <w:rPr>
      <w:i/>
      <w:iCs/>
      <w:color w:val="404040" w:themeColor="text1" w:themeTint="BF"/>
    </w:rPr>
  </w:style>
  <w:style w:type="paragraph" w:styleId="ListParagraph">
    <w:name w:val="List Paragraph"/>
    <w:basedOn w:val="Normal"/>
    <w:uiPriority w:val="34"/>
    <w:qFormat/>
    <w:rsid w:val="00D006F3"/>
    <w:pPr>
      <w:ind w:left="720"/>
      <w:contextualSpacing/>
    </w:pPr>
  </w:style>
  <w:style w:type="character" w:styleId="IntenseEmphasis">
    <w:name w:val="Intense Emphasis"/>
    <w:basedOn w:val="DefaultParagraphFont"/>
    <w:uiPriority w:val="21"/>
    <w:qFormat/>
    <w:rsid w:val="00D006F3"/>
    <w:rPr>
      <w:i/>
      <w:iCs/>
      <w:color w:val="2F5496" w:themeColor="accent1" w:themeShade="BF"/>
    </w:rPr>
  </w:style>
  <w:style w:type="paragraph" w:styleId="IntenseQuote">
    <w:name w:val="Intense Quote"/>
    <w:basedOn w:val="Normal"/>
    <w:next w:val="Normal"/>
    <w:link w:val="IntenseQuoteChar"/>
    <w:uiPriority w:val="30"/>
    <w:qFormat/>
    <w:rsid w:val="00D00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6F3"/>
    <w:rPr>
      <w:i/>
      <w:iCs/>
      <w:color w:val="2F5496" w:themeColor="accent1" w:themeShade="BF"/>
    </w:rPr>
  </w:style>
  <w:style w:type="character" w:styleId="IntenseReference">
    <w:name w:val="Intense Reference"/>
    <w:basedOn w:val="DefaultParagraphFont"/>
    <w:uiPriority w:val="32"/>
    <w:qFormat/>
    <w:rsid w:val="00D006F3"/>
    <w:rPr>
      <w:b/>
      <w:bCs/>
      <w:smallCaps/>
      <w:color w:val="2F5496" w:themeColor="accent1" w:themeShade="BF"/>
      <w:spacing w:val="5"/>
    </w:rPr>
  </w:style>
  <w:style w:type="character" w:styleId="Hyperlink">
    <w:name w:val="Hyperlink"/>
    <w:basedOn w:val="DefaultParagraphFont"/>
    <w:uiPriority w:val="99"/>
    <w:unhideWhenUsed/>
    <w:rsid w:val="00F17735"/>
    <w:rPr>
      <w:color w:val="0563C1" w:themeColor="hyperlink"/>
      <w:u w:val="single"/>
    </w:rPr>
  </w:style>
  <w:style w:type="character" w:styleId="UnresolvedMention">
    <w:name w:val="Unresolved Mention"/>
    <w:basedOn w:val="DefaultParagraphFont"/>
    <w:uiPriority w:val="99"/>
    <w:semiHidden/>
    <w:unhideWhenUsed/>
    <w:rsid w:val="00F17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2</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Ramin Bohlouli</dc:creator>
  <cp:keywords/>
  <dc:description/>
  <cp:lastModifiedBy>Ramin Bohlouli</cp:lastModifiedBy>
  <cp:revision>74</cp:revision>
  <dcterms:created xsi:type="dcterms:W3CDTF">2026-03-12T10:03:00Z</dcterms:created>
  <dcterms:modified xsi:type="dcterms:W3CDTF">2026-05-08T13:41:00Z</dcterms:modified>
</cp:coreProperties>
</file>