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Calibri" w:cs="Calibri" w:eastAsia="Calibri" w:hAnsi="Calibri"/>
          <w:b/>
          <w:bCs/>
          <w:color w:val="003B70"/>
          <w:sz w:val="44"/>
          <w:szCs w:val="44"/>
        </w:rPr>
        <w:t xml:space="preserve">DOCUMENTO DE ARQUITECTURA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A4A70"/>
          <w:sz w:val="28"/>
          <w:szCs w:val="28"/>
        </w:rPr>
        <w:t xml:space="preserve">Sistema de Gestión de Beneficios para Empresas Asociadas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C6B73"/>
          <w:sz w:val="20"/>
          <w:szCs w:val="20"/>
        </w:rPr>
        <w:t xml:space="preserve">ADEX · Angular 22 + .NET 10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3B70"/>
          <w:sz w:val="32"/>
          <w:szCs w:val="32"/>
        </w:rPr>
        <w:t xml:space="preserve">1. Visión general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Monorepo backend .NET 10 + frontend Angular 22, REST /api/v1, JWT Bearer.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src/ — Api, Application, Domain, Infrastructure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web/ — Angular 22 SPA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tests/ — Tests unitarios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3B70"/>
          <w:sz w:val="32"/>
          <w:szCs w:val="32"/>
        </w:rPr>
        <w:t xml:space="preserve">2. Clean Architecture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Api → Application + Infrastructure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Application → Domain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Domain sin dependencias externas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3B70"/>
          <w:sz w:val="26"/>
          <w:szCs w:val="26"/>
        </w:rPr>
        <w:t xml:space="preserve">Capas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003B7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600"/>
            <w:shd w:fill="003B7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3360"/>
            <w:shd w:fill="003B7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24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Presentación</w:t>
            </w:r>
          </w:p>
        </w:tc>
        <w:tc>
          <w:tcPr>
            <w:tcW w:type="dxa" w:w="36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GestionBeneficios.Api</w:t>
            </w:r>
          </w:p>
        </w:tc>
        <w:tc>
          <w:tcPr>
            <w:tcW w:type="dxa" w:w="336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HTTP, JWT, controllers</w:t>
            </w:r>
          </w:p>
        </w:tc>
      </w:tr>
      <w:tr>
        <w:tc>
          <w:tcPr>
            <w:tcW w:type="dxa" w:w="24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Aplicación</w:t>
            </w:r>
          </w:p>
        </w:tc>
        <w:tc>
          <w:tcPr>
            <w:tcW w:type="dxa" w:w="36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GestionBeneficios.Application</w:t>
            </w:r>
          </w:p>
        </w:tc>
        <w:tc>
          <w:tcPr>
            <w:tcW w:type="dxa" w:w="336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 Services, DTOs</w:t>
            </w:r>
          </w:p>
        </w:tc>
      </w:tr>
      <w:tr>
        <w:tc>
          <w:tcPr>
            <w:tcW w:type="dxa" w:w="24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Dominio</w:t>
            </w:r>
          </w:p>
        </w:tc>
        <w:tc>
          <w:tcPr>
            <w:tcW w:type="dxa" w:w="36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GestionBeneficios.Domain</w:t>
            </w:r>
          </w:p>
        </w:tc>
        <w:tc>
          <w:tcPr>
            <w:tcW w:type="dxa" w:w="336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Entidades, reglas</w:t>
            </w:r>
          </w:p>
        </w:tc>
      </w:tr>
      <w:tr>
        <w:tc>
          <w:tcPr>
            <w:tcW w:type="dxa" w:w="24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36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GestionBeneficios.Infrastructure</w:t>
            </w:r>
          </w:p>
        </w:tc>
        <w:tc>
          <w:tcPr>
            <w:tcW w:type="dxa" w:w="336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EF Core, DAOs, stubs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3B70"/>
          <w:sz w:val="32"/>
          <w:szCs w:val="32"/>
        </w:rPr>
        <w:t xml:space="preserve">3. Inyección de dependencias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Program.cs: AddApplication() + AddInfrastructure() + SeedAsync()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fill="003B7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4680"/>
            <w:shd w:fill="003B7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Lifetime</w:t>
            </w:r>
          </w:p>
        </w:tc>
      </w:tr>
      <w:tr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 App Services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Scoped</w:t>
            </w:r>
          </w:p>
        </w:tc>
      </w:tr>
      <w:tr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11 DAOs + DbContext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Scoped</w:t>
            </w:r>
          </w:p>
        </w:tc>
      </w:tr>
      <w:tr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MockCrmGremiosClient, LoggingEmailSender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Singleton</w:t>
            </w:r>
          </w:p>
        </w:tc>
      </w:tr>
      <w:tr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VencimientoBackgroundService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HostedService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3B70"/>
          <w:sz w:val="32"/>
          <w:szCs w:val="32"/>
        </w:rPr>
        <w:t xml:space="preserve">4. Acceso a datos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EF Core LINQ en Infrastructure/Persistence/Daos.cs. Sin SQL crudo.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Patrón: Controller → AppService → I*Dao → DbContext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120"/>
            <w:shd w:fill="003B7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DAO</w:t>
            </w:r>
          </w:p>
        </w:tc>
        <w:tc>
          <w:tcPr>
            <w:tcW w:type="dxa" w:w="6240"/>
            <w:shd w:fill="003B7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</w:tr>
      <w:tr>
        <w:tc>
          <w:tcPr>
            <w:tcW w:type="dxa" w:w="31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EmpresaDao</w:t>
            </w:r>
          </w:p>
        </w:tc>
        <w:tc>
          <w:tcPr>
            <w:tcW w:type="dxa" w:w="624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EmpresaAsociada</w:t>
            </w:r>
          </w:p>
        </w:tc>
      </w:tr>
      <w:tr>
        <w:tc>
          <w:tcPr>
            <w:tcW w:type="dxa" w:w="31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AlumnoDao</w:t>
            </w:r>
          </w:p>
        </w:tc>
        <w:tc>
          <w:tcPr>
            <w:tcW w:type="dxa" w:w="624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Alumno</w:t>
            </w:r>
          </w:p>
        </w:tc>
      </w:tr>
      <w:tr>
        <w:tc>
          <w:tcPr>
            <w:tcW w:type="dxa" w:w="31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ContratacionDao</w:t>
            </w:r>
          </w:p>
        </w:tc>
        <w:tc>
          <w:tcPr>
            <w:tcW w:type="dxa" w:w="624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Contratacion</w:t>
            </w:r>
          </w:p>
        </w:tc>
      </w:tr>
      <w:tr>
        <w:tc>
          <w:tcPr>
            <w:tcW w:type="dxa" w:w="31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PuntosDao</w:t>
            </w:r>
          </w:p>
        </w:tc>
        <w:tc>
          <w:tcPr>
            <w:tcW w:type="dxa" w:w="624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PuntoMovimiento, PuntoLote</w:t>
            </w:r>
          </w:p>
        </w:tc>
      </w:tr>
      <w:tr>
        <w:tc>
          <w:tcPr>
            <w:tcW w:type="dxa" w:w="31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BeneficioDao</w:t>
            </w:r>
          </w:p>
        </w:tc>
        <w:tc>
          <w:tcPr>
            <w:tcW w:type="dxa" w:w="624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Beneficio</w:t>
            </w:r>
          </w:p>
        </w:tc>
      </w:tr>
      <w:tr>
        <w:tc>
          <w:tcPr>
            <w:tcW w:type="dxa" w:w="31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CanjeDao</w:t>
            </w:r>
          </w:p>
        </w:tc>
        <w:tc>
          <w:tcPr>
            <w:tcW w:type="dxa" w:w="624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Canje</w:t>
            </w:r>
          </w:p>
        </w:tc>
      </w:tr>
      <w:tr>
        <w:tc>
          <w:tcPr>
            <w:tcW w:type="dxa" w:w="31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CargaMasivaDao</w:t>
            </w:r>
          </w:p>
        </w:tc>
        <w:tc>
          <w:tcPr>
            <w:tcW w:type="dxa" w:w="624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CargaMasiva</w:t>
            </w:r>
          </w:p>
        </w:tc>
      </w:tr>
      <w:tr>
        <w:tc>
          <w:tcPr>
            <w:tcW w:type="dxa" w:w="312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AuditoriaDao</w:t>
            </w:r>
          </w:p>
        </w:tc>
        <w:tc>
          <w:tcPr>
            <w:tcW w:type="dxa" w:w="624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Auditoria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3B70"/>
          <w:sz w:val="32"/>
          <w:szCs w:val="32"/>
        </w:rPr>
        <w:t xml:space="preserve">5. Frontend Angular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core/ — Auth, ApiService, guards, shell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features/ — Pantallas por dominio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shared/ — KPI, tablas, estados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Signals + RxJS, sin NgRx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3B70"/>
          <w:sz w:val="32"/>
          <w:szCs w:val="32"/>
        </w:rPr>
        <w:t xml:space="preserve">6. Auth y stubs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003B7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3480"/>
            <w:shd w:fill="003B7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3480"/>
            <w:shd w:fill="003B7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Futuro</w:t>
            </w:r>
          </w:p>
        </w:tc>
      </w:tr>
      <w:tr>
        <w:tc>
          <w:tcPr>
            <w:tcW w:type="dxa" w:w="24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348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JWT dev-token</w:t>
            </w:r>
          </w:p>
        </w:tc>
        <w:tc>
          <w:tcPr>
            <w:tcW w:type="dxa" w:w="348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Login Centros</w:t>
            </w:r>
          </w:p>
        </w:tc>
      </w:tr>
      <w:tr>
        <w:tc>
          <w:tcPr>
            <w:tcW w:type="dxa" w:w="24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CRM</w:t>
            </w:r>
          </w:p>
        </w:tc>
        <w:tc>
          <w:tcPr>
            <w:tcW w:type="dxa" w:w="348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MockCrmGremiosClient</w:t>
            </w:r>
          </w:p>
        </w:tc>
        <w:tc>
          <w:tcPr>
            <w:tcW w:type="dxa" w:w="348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HTTP Gremios</w:t>
            </w:r>
          </w:p>
        </w:tc>
      </w:tr>
      <w:tr>
        <w:tc>
          <w:tcPr>
            <w:tcW w:type="dxa" w:w="24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348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LoggingEmailSender</w:t>
            </w:r>
          </w:p>
        </w:tc>
        <w:tc>
          <w:tcPr>
            <w:tcW w:type="dxa" w:w="348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SMTP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i/>
          <w:iCs/>
          <w:color w:val="5C6B73"/>
          <w:sz w:val="22"/>
          <w:szCs w:val="22"/>
        </w:rPr>
        <w:t xml:space="preserve">Versión completa con diagramas: docs/ARQUITECTURA.md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6B73"/>
        <w:sz w:val="16"/>
        <w:szCs w:val="16"/>
      </w:rPr>
      <w:t xml:space="preserve">Página </w:t>
    </w:r>
    <w:r>
      <w:rPr>
        <w:rFonts w:ascii="Calibri" w:cs="Calibri" w:eastAsia="Calibri" w:hAnsi="Calibri"/>
        <w:color w:val="5C6B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B73"/>
        <w:sz w:val="16"/>
        <w:szCs w:val="16"/>
      </w:rPr>
      <w:t xml:space="preserve"> de </w:t>
    </w:r>
    <w:r>
      <w:rPr>
        <w:rFonts w:ascii="Calibri" w:cs="Calibri" w:eastAsia="Calibri" w:hAnsi="Calibri"/>
        <w:color w:val="5C6B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C6B73"/>
        <w:sz w:val="16"/>
        <w:szCs w:val="16"/>
      </w:rPr>
      <w:t xml:space="preserve">Arquitectura — Gestión de Beneficios ADEX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2026-08-27T18:02:03.992Z</dcterms:created>
  <dcterms:modified xsi:type="dcterms:W3CDTF">2026-08-27T18:02:03.993Z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