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courses and training</w:t>
      </w:r>
    </w:p>
    <w:p>
      <w:pPr>
        <w:keepNext/>
        <w:spacing w:after="40"/>
      </w:pPr>
      <w:r>
        <w:t>Document 13 of the Nexora learning guides</w:t>
      </w:r>
    </w:p>
    <w:p>
      <w:pPr/>
      <w:r>
        <w:t>Source snapshot 13 October 2026 at 17:12 UTC</w:t>
      </w:r>
    </w:p>
    <w:p>
      <w:pPr/>
      <w:r>
        <w:t>Understand course applications, training approval and attendance through the shared events module.</w:t>
      </w:r>
    </w:p>
    <w:p>
      <w:pPr>
        <w:pStyle w:val="Heading2"/>
      </w:pPr>
      <w:r>
        <w:t>Recognise the screen and its scope</w:t>
      </w:r>
    </w:p>
    <w:p>
      <w:pPr/>
      <w:r>
        <w:t xml:space="preserve">Open </w:t>
      </w:r>
      <w:r>
        <w:rPr>
          <w:rFonts w:ascii="Consolas" w:hAnsi="Consolas"/>
          <w:sz w:val="19"/>
        </w:rPr>
        <w:t>/events/courses</w:t>
      </w:r>
      <w:r>
        <w:t xml:space="preserve">, </w:t>
      </w:r>
      <w:r>
        <w:rPr>
          <w:rFonts w:ascii="Consolas" w:hAnsi="Consolas"/>
          <w:sz w:val="19"/>
        </w:rPr>
        <w:t>/events/courses/[id]</w:t>
      </w:r>
      <w:r>
        <w:t>. CRM routes use port 3017; member routes use 3018; public website routes can use 3019. Brackets name a route parameter, not text to paste into a browser. Choose a real record or site id from the application.</w:t>
      </w:r>
    </w:p>
    <w:p>
      <w:pPr/>
      <w:r>
        <w:t>This guide covers Course offerings; Training applications; Approval rejection and cancellation; Course sessions; Attendance and transfers.</w:t>
      </w:r>
    </w:p>
    <w:p>
      <w:pPr>
        <w:keepNext/>
        <w:jc w:val="center"/>
      </w:pPr>
      <w:r>
        <w:drawing>
          <wp:inline xmlns:a="http://schemas.openxmlformats.org/drawingml/2006/main" xmlns:pic="http://schemas.openxmlformats.org/drawingml/2006/picture">
            <wp:extent cx="6355080" cy="3301340"/>
            <wp:docPr id="1" name="Picture 1" descr="File journey for Nexora courses and training"/>
            <wp:cNvGraphicFramePr>
              <a:graphicFrameLocks noChangeAspect="1"/>
            </wp:cNvGraphicFramePr>
            <a:graphic>
              <a:graphicData uri="http://schemas.openxmlformats.org/drawingml/2006/picture">
                <pic:pic>
                  <pic:nvPicPr>
                    <pic:cNvPr id="0" name="guide-13-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S0097 events-workspace.tsx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S0328 EventsModule.cs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S0327 EventEntities.cs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S0097</w:t>
      </w:r>
    </w:p>
    <w:p>
      <w:pPr/>
      <w:hyperlink r:id="rId11">
        <w:r>
          <w:rPr>
            <w:color w:val="263D55"/>
          </w:rPr>
          <w:t>apps/web/src/features/events/events-workspace.tsx</w:t>
        </w:r>
      </w:hyperlink>
    </w:p>
    <w:p>
      <w:pPr>
        <w:keepNext/>
        <w:spacing w:after="40"/>
      </w:pPr>
      <w:r>
        <w:rPr>
          <w:b/>
        </w:rPr>
        <w:t>Server S0328</w:t>
      </w:r>
    </w:p>
    <w:p>
      <w:pPr/>
      <w:hyperlink r:id="rId12">
        <w:r>
          <w:rPr>
            <w:color w:val="263D55"/>
          </w:rPr>
          <w:t>backend/src/Modules/Nexora.Modules.Events/EventsModule.cs</w:t>
        </w:r>
      </w:hyperlink>
    </w:p>
    <w:p>
      <w:pPr>
        <w:keepNext/>
        <w:spacing w:after="40"/>
      </w:pPr>
      <w:r>
        <w:rPr>
          <w:b/>
        </w:rPr>
        <w:t>Data S0327</w:t>
      </w:r>
    </w:p>
    <w:p>
      <w:pPr/>
      <w:hyperlink r:id="rId13">
        <w:r>
          <w:rPr>
            <w:color w:val="263D55"/>
          </w:rPr>
          <w:t>backend/src/Modules/Nexora.Modules.Events/Domain/EventEntities.cs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courses route passes course as the offering kind.</w:t>
      </w:r>
    </w:p>
    <w:p>
      <w:pPr/>
      <w:r>
        <w:t>2. The shared workspace loads course offerings.</w:t>
      </w:r>
    </w:p>
    <w:p>
      <w:pPr/>
      <w:r>
        <w:t>3. A Contact applies for training through the enrollment endpoint.</w:t>
      </w:r>
    </w:p>
    <w:p>
      <w:pPr/>
      <w:r>
        <w:t>4. Course applications can be approved or rejected by authorised staff.</w:t>
      </w:r>
    </w:p>
    <w:p>
      <w:pPr/>
      <w:r>
        <w:t>5. Attendance and history are recorded against the enrollment.</w:t>
      </w:r>
    </w:p>
    <w:p>
      <w:pPr>
        <w:pStyle w:val="Heading2"/>
      </w:pPr>
      <w:r>
        <w:t>Read the code with an explanation</w:t>
      </w:r>
    </w:p>
    <w:p>
      <w:pPr/>
      <w:r>
        <w:t>The course route is a small wrapper. Most of the screen lives in EventsWorkspace and most rules live in EventsModule. Course-specific text and transitions are selected by offering.kind. Before changing a shared conditional, inspect how event and exam branches use it so a training improvement does not alter another offering type.</w:t>
      </w:r>
    </w:p>
    <w:p>
      <w:pPr>
        <w:pStyle w:val="GuideSmall"/>
        <w:keepNext/>
      </w:pPr>
      <w:r>
        <w:t>Source reference S0097 apps/web/src/features/events/events-workspace.tsx</w:t>
      </w:r>
    </w:p>
    <w:p>
      <w:pPr/>
      <w:r>
        <w:t>Selected opening lines with their original numbers. The complete file is in the HTML source library.</w:t>
      </w:r>
    </w:p>
    <w:p>
      <w:pPr>
        <w:pStyle w:val="GuideCode"/>
        <w:keepNext/>
      </w:pPr>
      <w:r>
        <w:t>0001  "use client";</w:t>
      </w:r>
    </w:p>
    <w:p>
      <w:pPr>
        <w:pStyle w:val="GuideCode"/>
        <w:keepNext/>
      </w:pPr>
      <w:r>
        <w:t>0002  import { RecordListing } from "../shared/record-listing";</w:t>
      </w:r>
    </w:p>
    <w:p>
      <w:pPr>
        <w:pStyle w:val="GuideCode"/>
      </w:pPr>
      <w:r>
        <w:t>0003  import listingStyles from "../crm/record-listing.module.css";</w:t>
      </w:r>
    </w:p>
    <w:p>
      <w:pPr>
        <w:pStyle w:val="GuideCode"/>
        <w:keepNext/>
      </w:pPr>
      <w:r>
        <w:t>0004  import { WorkspaceHeading } from "@/components/ui/workspace-heading";</w:t>
      </w:r>
    </w:p>
    <w:p>
      <w:pPr>
        <w:pStyle w:val="GuideCode"/>
        <w:keepNext/>
      </w:pPr>
      <w:r>
        <w:t>0005  import { useRouter } from "next/navigation";</w:t>
      </w:r>
    </w:p>
    <w:p>
      <w:pPr>
        <w:pStyle w:val="GuideCode"/>
        <w:keepNext w:val="0"/>
      </w:pPr>
      <w:r>
        <w:t>0006  import type { Route } from "next";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S0328 backend/src/Modules/Nexora.Modules.Events/EventsModule.cs</w:t>
      </w:r>
    </w:p>
    <w:p>
      <w:pPr/>
      <w:r>
        <w:t>Extract from source line 27. A fragment from a long line is shown without the rest of that line.</w:t>
      </w:r>
    </w:p>
    <w:p>
      <w:pPr>
        <w:pStyle w:val="GuideCode"/>
        <w:keepNext w:val="0"/>
      </w:pPr>
      <w:r>
        <w:t>0027          api.MapGet("/contacts",(string?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S0327 backend/src/Modules/Nexora.Modules.Events/Domain/EventEntities.cs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Nexora.Modules.Events.Domain;</w:t>
      </w:r>
    </w:p>
    <w:p>
      <w:pPr>
        <w:pStyle w:val="GuideCode"/>
      </w:pPr>
      <w:r>
        <w:t>0003  public sealed class Offering : TenantEntity</w:t>
      </w:r>
    </w:p>
    <w:p>
      <w:pPr>
        <w:pStyle w:val="GuideCode"/>
        <w:keepNext/>
      </w:pPr>
      <w:r>
        <w:t>0004  {</w:t>
      </w:r>
    </w:p>
    <w:p>
      <w:pPr>
        <w:pStyle w:val="GuideCode"/>
        <w:keepNext/>
      </w:pPr>
      <w:r>
        <w:t>0005      public string Kind { get; set; } = "event";</w:t>
      </w:r>
    </w:p>
    <w:p>
      <w:pPr>
        <w:pStyle w:val="GuideCode"/>
        <w:keepNext w:val="0"/>
      </w:pPr>
      <w:r>
        <w:t>0006      public string Name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apps/web/src/features/events/events-workspace.tsx</w:t>
        </w:r>
      </w:hyperlink>
      <w:r>
        <w:t>.</w:t>
      </w:r>
    </w:p>
    <w:p>
      <w:pPr/>
      <w:r>
        <w:t xml:space="preserve">2. Press Ctrl+F and search for </w:t>
      </w:r>
      <w:r>
        <w:rPr>
          <w:rFonts w:ascii="Consolas" w:hAnsi="Consolas"/>
          <w:sz w:val="19"/>
        </w:rPr>
        <w:t>Apply for training</w:t>
      </w:r>
      <w:r>
        <w:t>. In this snapshot it appears at line 30.</w:t>
      </w:r>
    </w:p>
    <w:p>
      <w:pPr/>
      <w:r>
        <w:t>3. Replace this course-specific button wording. Open a course detail and verify the event branch still says Book place. Leave the request endpoint and enrollment fields unchanged.</w:t>
      </w:r>
    </w:p>
    <w:p>
      <w:pPr/>
      <w:r>
        <w:t xml:space="preserve">4. Replace only </w:t>
      </w:r>
      <w:r>
        <w:rPr>
          <w:rFonts w:ascii="Consolas" w:hAnsi="Consolas"/>
          <w:sz w:val="19"/>
        </w:rPr>
        <w:t>Apply for training</w:t>
      </w:r>
      <w:r>
        <w:t xml:space="preserve"> with </w:t>
      </w:r>
      <w:r>
        <w:rPr>
          <w:rFonts w:ascii="Consolas" w:hAnsi="Consolas"/>
          <w:sz w:val="19"/>
        </w:rPr>
        <w:t>Submit training application</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30. A fragment from a long line is shown without the rest of that line.</w:t>
      </w:r>
    </w:p>
    <w:p>
      <w:pPr>
        <w:pStyle w:val="GuideCode"/>
        <w:keepNext w:val="0"/>
      </w:pPr>
      <w:r>
        <w:t>0030  &gt;{detail.offering.kind==="course"?"Apply for training":"Book place"}&lt;/button&gt;&lt;/form&gt;&lt;/&gt;}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source provides training applications and attendance. A separate learning-content player, third-party learning system or certification delivery must not be inferred from a course record.</w:t>
      </w:r>
    </w:p>
    <w:p>
      <w:pPr>
        <w:pStyle w:val="Heading2"/>
      </w:pPr>
      <w:r>
        <w:t>Continue learning</w:t>
      </w:r>
    </w:p>
    <w:p>
      <w:pPr/>
      <w:r>
        <w:t xml:space="preserve">Related guides </w:t>
      </w:r>
      <w:hyperlink w:anchor="guide_12">
        <w:r>
          <w:rPr>
            <w:color w:val="263D55"/>
          </w:rPr>
          <w:t>12 Nexora events and bookings</w:t>
        </w:r>
      </w:hyperlink>
      <w:r>
        <w:t xml:space="preserve">, </w:t>
      </w:r>
      <w:hyperlink w:anchor="guide_14">
        <w:r>
          <w:rPr>
            <w:color w:val="263D55"/>
          </w:rPr>
          <w:t>14 Nexora examinations and results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events/events-workspace.tsx" TargetMode="External"/><Relationship Id="rId12" Type="http://schemas.openxmlformats.org/officeDocument/2006/relationships/hyperlink" Target="D:/Projects new/Nexora/backend/src/Modules/Nexora.Modules.Events/EventsModule.cs" TargetMode="External"/><Relationship Id="rId13" Type="http://schemas.openxmlformats.org/officeDocument/2006/relationships/hyperlink" Target="D:/Projects new/Nexora/backend/src/Modules/Nexora.Modules.Events/Domain/Event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courses and training</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