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engagement and fundraising</w:t>
      </w:r>
    </w:p>
    <w:p>
      <w:pPr>
        <w:keepNext/>
        <w:spacing w:after="40"/>
      </w:pPr>
      <w:r>
        <w:t>Document 16 of the Nexora learning guides</w:t>
      </w:r>
    </w:p>
    <w:p>
      <w:pPr/>
      <w:r>
        <w:t>Source snapshot 13 October 2026 at 17:12 UTC</w:t>
      </w:r>
    </w:p>
    <w:p>
      <w:pPr/>
      <w:r>
        <w:t>Understand communities, campaigns, consented audiences, funds and donation records.</w:t>
      </w:r>
    </w:p>
    <w:p>
      <w:pPr>
        <w:pStyle w:val="Heading2"/>
      </w:pPr>
      <w:r>
        <w:t>Recognise the screen and its scope</w:t>
      </w:r>
    </w:p>
    <w:p>
      <w:pPr/>
      <w:r>
        <w:t xml:space="preserve">Open </w:t>
      </w:r>
      <w:r>
        <w:rPr>
          <w:rFonts w:ascii="Consolas" w:hAnsi="Consolas"/>
          <w:sz w:val="19"/>
        </w:rPr>
        <w:t>/engagement/communities</w:t>
      </w:r>
      <w:r>
        <w:t xml:space="preserve">, </w:t>
      </w:r>
      <w:r>
        <w:rPr>
          <w:rFonts w:ascii="Consolas" w:hAnsi="Consolas"/>
          <w:sz w:val="19"/>
        </w:rPr>
        <w:t>/engagement/campaigns</w:t>
      </w:r>
      <w:r>
        <w:t xml:space="preserve">, </w:t>
      </w:r>
      <w:r>
        <w:rPr>
          <w:rFonts w:ascii="Consolas" w:hAnsi="Consolas"/>
          <w:sz w:val="19"/>
        </w:rPr>
        <w:t>/engagement/funds</w:t>
      </w:r>
      <w:r>
        <w:t>. CRM routes use port 3017; member routes use 3018; public website routes can use 3019. Brackets name a route parameter, not text to paste into a browser. Choose a real record or site id from the application.</w:t>
      </w:r>
    </w:p>
    <w:p>
      <w:pPr/>
      <w:r>
        <w:t>This guide covers Communities and members; Campaign drafts and prepared audiences; Consent checks; Funds; Donation recording and activity.</w:t>
      </w:r>
    </w:p>
    <w:p>
      <w:pPr>
        <w:keepNext/>
        <w:jc w:val="center"/>
      </w:pPr>
      <w:r>
        <w:drawing>
          <wp:inline xmlns:a="http://schemas.openxmlformats.org/drawingml/2006/main" xmlns:pic="http://schemas.openxmlformats.org/drawingml/2006/picture">
            <wp:extent cx="6355080" cy="3301340"/>
            <wp:docPr id="1" name="Picture 1" descr="File journey for Nexora engagement and fundraising"/>
            <wp:cNvGraphicFramePr>
              <a:graphicFrameLocks noChangeAspect="1"/>
            </wp:cNvGraphicFramePr>
            <a:graphic>
              <a:graphicData uri="http://schemas.openxmlformats.org/drawingml/2006/picture">
                <pic:pic>
                  <pic:nvPicPr>
                    <pic:cNvPr id="0" name="guide-16-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S0118 operations-workspace.tsx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S0308 EngagementModule.cs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S0307 EngagementEntities.cs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S0118</w:t>
      </w:r>
    </w:p>
    <w:p>
      <w:pPr/>
      <w:hyperlink r:id="rId11">
        <w:r>
          <w:rPr>
            <w:color w:val="263D55"/>
          </w:rPr>
          <w:t>apps/web/src/features/operations/operations-workspace.tsx</w:t>
        </w:r>
      </w:hyperlink>
    </w:p>
    <w:p>
      <w:pPr>
        <w:keepNext/>
        <w:spacing w:after="40"/>
      </w:pPr>
      <w:r>
        <w:rPr>
          <w:b/>
        </w:rPr>
        <w:t>Server S0308</w:t>
      </w:r>
    </w:p>
    <w:p>
      <w:pPr/>
      <w:hyperlink r:id="rId12">
        <w:r>
          <w:rPr>
            <w:color w:val="263D55"/>
          </w:rPr>
          <w:t>backend/src/Modules/Nexora.Modules.Engagement/EngagementModule.cs</w:t>
        </w:r>
      </w:hyperlink>
    </w:p>
    <w:p>
      <w:pPr>
        <w:keepNext/>
        <w:spacing w:after="40"/>
      </w:pPr>
      <w:r>
        <w:rPr>
          <w:b/>
        </w:rPr>
        <w:t>Data S0307</w:t>
      </w:r>
    </w:p>
    <w:p>
      <w:pPr/>
      <w:hyperlink r:id="rId13">
        <w:r>
          <w:rPr>
            <w:color w:val="263D55"/>
          </w:rPr>
          <w:t>backend/src/Modules/Nexora.Modules.Engagement/Domain/EngagementEntities.cs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engagement route selects the OperationsWorkspace module and section.</w:t>
      </w:r>
    </w:p>
    <w:p>
      <w:pPr/>
      <w:r>
        <w:t>2. The shared workspace loads the chosen engagement lists.</w:t>
      </w:r>
    </w:p>
    <w:p>
      <w:pPr/>
      <w:r>
        <w:t>3. Forms are generated from the engagement action definitions.</w:t>
      </w:r>
    </w:p>
    <w:p>
      <w:pPr/>
      <w:r>
        <w:t>4. Preparing a campaign asks the backend to build its consented audience.</w:t>
      </w:r>
    </w:p>
    <w:p>
      <w:pPr/>
      <w:r>
        <w:t>5. The server persists community, campaign, fund or donation records.</w:t>
      </w:r>
    </w:p>
    <w:p>
      <w:pPr>
        <w:pStyle w:val="Heading2"/>
      </w:pPr>
      <w:r>
        <w:t>Read the code with an explanation</w:t>
      </w:r>
    </w:p>
    <w:p>
      <w:pPr/>
      <w:r>
        <w:t>OperationsWorkspace is shared with Work. Its engagement array describes form labels, paths and fields. A prepared audience is a set of eligible records, not evidence that emails were sent. Consent fields in CRM feed audience selection. Fundraising stores donation information without proving a banking transaction.</w:t>
      </w:r>
    </w:p>
    <w:p>
      <w:pPr>
        <w:pStyle w:val="GuideSmall"/>
        <w:keepNext/>
      </w:pPr>
      <w:r>
        <w:t>Source reference S0118 apps/web/src/features/operations/operations-workspace.tsx</w:t>
      </w:r>
    </w:p>
    <w:p>
      <w:pPr/>
      <w:r>
        <w:t>Selected opening lines with their original numbers. The complete file is in the HTML source library.</w:t>
      </w:r>
    </w:p>
    <w:p>
      <w:pPr>
        <w:pStyle w:val="GuideCode"/>
        <w:keepNext/>
      </w:pPr>
      <w:r>
        <w:t>0001  "use client";</w:t>
      </w:r>
    </w:p>
    <w:p>
      <w:pPr>
        <w:pStyle w:val="GuideCode"/>
        <w:keepNext/>
      </w:pPr>
      <w:r>
        <w:t>0002  import listingStyles from "../crm/record-listing.module.css";</w:t>
      </w:r>
    </w:p>
    <w:p>
      <w:pPr>
        <w:pStyle w:val="GuideCode"/>
      </w:pPr>
      <w:r>
        <w:t>0003  import { WorkspaceHeading } from "@/components/ui/workspace-heading";</w:t>
      </w:r>
    </w:p>
    <w:p>
      <w:pPr>
        <w:pStyle w:val="GuideCode"/>
        <w:keepNext/>
      </w:pPr>
      <w:r>
        <w:t>0004  import { RecordListing, useRecordPage } from "../shared/record-listing";</w:t>
      </w:r>
    </w:p>
    <w:p>
      <w:pPr>
        <w:pStyle w:val="GuideCode"/>
        <w:keepNext/>
      </w:pPr>
      <w:r>
        <w:t>0005  import { Plus, ArrowLeft } from "lucide-react";</w:t>
      </w:r>
    </w:p>
    <w:p>
      <w:pPr>
        <w:pStyle w:val="GuideCode"/>
        <w:keepNext w:val="0"/>
      </w:pPr>
      <w:r>
        <w:t>0006  import { useEntityListing } from "../shared/entity-listing-controls";</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S0308 backend/src/Modules/Nexora.Modules.Engagement/EngagementModule.cs</w:t>
      </w:r>
    </w:p>
    <w:p>
      <w:pPr/>
      <w:r>
        <w:t>Extract from source line 28. A fragment from a long line is shown without the rest of that line.</w:t>
      </w:r>
    </w:p>
    <w:p>
      <w:pPr>
        <w:pStyle w:val="GuideCode"/>
        <w:keepNext w:val="0"/>
      </w:pPr>
      <w:r>
        <w:t>0028    api.MapGet("/contacts",(string? search,ICrmDirectory crm,CancellationToken ct)=&gt;crm.SearchContactsAsync(search,ct));</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S0307 backend/src/Modules/Nexora.Modules.Engagement/Domain/EngagementEntities.cs</w:t>
      </w:r>
    </w:p>
    <w:p>
      <w:pPr/>
      <w:r>
        <w:t>Selected opening lines with their original numbers. The complete file is in the HTML source library.</w:t>
      </w:r>
    </w:p>
    <w:p>
      <w:pPr>
        <w:pStyle w:val="GuideCode"/>
        <w:keepNext/>
      </w:pPr>
      <w:r>
        <w:t>0001  using Nexora.BuildingBlocks.Domain;</w:t>
      </w:r>
    </w:p>
    <w:p>
      <w:pPr>
        <w:pStyle w:val="GuideCode"/>
        <w:keepNext/>
      </w:pPr>
      <w:r>
        <w:t>0002  namespace Nexora.Modules.Engagement.Domain;</w:t>
      </w:r>
    </w:p>
    <w:p>
      <w:pPr>
        <w:pStyle w:val="GuideCode"/>
        <w:keepNext/>
      </w:pPr>
      <w:r>
        <w:t>0003  public sealed class Community:TenantEntity {public string Kind{get;set;}="group";public string Name{get;set;}="";public string Purpose{get;set;}="";}</w:t>
      </w:r>
    </w:p>
    <w:p>
      <w:pPr>
        <w:pStyle w:val="GuideCode"/>
        <w:keepNext/>
      </w:pPr>
      <w:r>
        <w:t>0007  public sealed class CampaignRecipient:TenantEntity,IAppendOnly {public Guid CampaignId{get;set;}public Guid ContactId{get;set;}public string Email{get;set;}="";}</w:t>
      </w:r>
    </w:p>
    <w:p>
      <w:pPr>
        <w:pStyle w:val="GuideCode"/>
        <w:keepNext w:val="0"/>
      </w:pPr>
      <w:r>
        <w:t>0008  public sealed class Fund:TenantEntity {public string Name{get;set;}="";public string Currency{get;set;}="GBP";public decimal Target{get;set;}}</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1">
        <w:r>
          <w:rPr>
            <w:color w:val="263D55"/>
          </w:rPr>
          <w:t>apps/web/src/features/operations/operations-workspace.tsx</w:t>
        </w:r>
      </w:hyperlink>
      <w:r>
        <w:t>.</w:t>
      </w:r>
    </w:p>
    <w:p>
      <w:pPr/>
      <w:r>
        <w:t xml:space="preserve">2. Press Ctrl+F and search for </w:t>
      </w:r>
      <w:r>
        <w:rPr>
          <w:rFonts w:ascii="Consolas" w:hAnsi="Consolas"/>
          <w:sz w:val="19"/>
        </w:rPr>
        <w:t>Prepare consented audience</w:t>
      </w:r>
      <w:r>
        <w:t>. In this snapshot it appears at line 30.</w:t>
      </w:r>
    </w:p>
    <w:p>
      <w:pPr/>
      <w:r>
        <w:t>3. Change this campaign button wording only. Check the campaign detail and a Work task screen; the Work actions should be unaffected.</w:t>
      </w:r>
    </w:p>
    <w:p>
      <w:pPr/>
      <w:r>
        <w:t xml:space="preserve">4. Replace only </w:t>
      </w:r>
      <w:r>
        <w:rPr>
          <w:rFonts w:ascii="Consolas" w:hAnsi="Consolas"/>
          <w:sz w:val="19"/>
        </w:rPr>
        <w:t>Prepare consented audience</w:t>
      </w:r>
      <w:r>
        <w:t xml:space="preserve"> with </w:t>
      </w:r>
      <w:r>
        <w:rPr>
          <w:rFonts w:ascii="Consolas" w:hAnsi="Consolas"/>
          <w:sz w:val="19"/>
        </w:rPr>
        <w:t>Prepare eligible audience</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30. A fragment from a long line is shown without the rest of that line.</w:t>
      </w:r>
    </w:p>
    <w:p>
      <w:pPr>
        <w:pStyle w:val="GuideCode"/>
        <w:keepNext w:val="0"/>
      </w:pPr>
      <w:r>
        <w:t>0030  e`,"POST",{version:row.version}))}&gt;Prepare consented audience&lt;/button&gt;}&lt;/&gt;}{section==="notifications"&amp;&amp;!ro</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Campaign audience preparation does not connect an email delivery provider. A donation record does not charge a donor. Consent and suppression checks remain server-side business rules.</w:t>
      </w:r>
    </w:p>
    <w:p>
      <w:pPr>
        <w:pStyle w:val="Heading2"/>
      </w:pPr>
      <w:r>
        <w:t>Continue learning</w:t>
      </w:r>
    </w:p>
    <w:p>
      <w:pPr/>
      <w:r>
        <w:t xml:space="preserve">Related guides </w:t>
      </w:r>
      <w:hyperlink w:anchor="guide_05">
        <w:r>
          <w:rPr>
            <w:color w:val="263D55"/>
          </w:rPr>
          <w:t>05 Nexora CRM contacts</w:t>
        </w:r>
      </w:hyperlink>
      <w:r>
        <w:t xml:space="preserve">, </w:t>
      </w:r>
      <w:hyperlink w:anchor="guide_15">
        <w:r>
          <w:rPr>
            <w:color w:val="263D55"/>
          </w:rPr>
          <w:t>15 Nexora sales and finance</w:t>
        </w:r>
      </w:hyperlink>
      <w:r>
        <w:t xml:space="preserve">, </w:t>
      </w:r>
      <w:hyperlink w:anchor="guide_17">
        <w:r>
          <w:rPr>
            <w:color w:val="263D55"/>
          </w:rPr>
          <w:t>17 Nexora tasks and notifications</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operations/operations-workspace.tsx" TargetMode="External"/><Relationship Id="rId12" Type="http://schemas.openxmlformats.org/officeDocument/2006/relationships/hyperlink" Target="D:/Projects new/Nexora/backend/src/Modules/Nexora.Modules.Engagement/EngagementModule.cs" TargetMode="External"/><Relationship Id="rId13" Type="http://schemas.openxmlformats.org/officeDocument/2006/relationships/hyperlink" Target="D:/Projects new/Nexora/backend/src/Modules/Nexora.Modules.Engagement/Domain/EngagementEntities.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engagement and fundraising</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