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tasks and notifications</w:t>
      </w:r>
    </w:p>
    <w:p>
      <w:pPr>
        <w:keepNext/>
        <w:spacing w:after="40"/>
      </w:pPr>
      <w:r>
        <w:t>Document 17 of the Nexora learning guides</w:t>
      </w:r>
    </w:p>
    <w:p>
      <w:pPr/>
      <w:r>
        <w:t>Source snapshot 13 October 2026 at 17:12 UTC</w:t>
      </w:r>
    </w:p>
    <w:p>
      <w:pPr/>
      <w:r>
        <w:t>Understand work items, assignees, teams, completion and staff notifications.</w:t>
      </w:r>
    </w:p>
    <w:p>
      <w:pPr>
        <w:pStyle w:val="Heading2"/>
      </w:pPr>
      <w:r>
        <w:t>Recognise the screen and its scope</w:t>
      </w:r>
    </w:p>
    <w:p>
      <w:pPr/>
      <w:r>
        <w:t xml:space="preserve">Open </w:t>
      </w:r>
      <w:r>
        <w:rPr>
          <w:rFonts w:ascii="Consolas" w:hAnsi="Consolas"/>
          <w:sz w:val="19"/>
        </w:rPr>
        <w:t>/work/items</w:t>
      </w:r>
      <w:r>
        <w:t xml:space="preserve">, </w:t>
      </w:r>
      <w:r>
        <w:rPr>
          <w:rFonts w:ascii="Consolas" w:hAnsi="Consolas"/>
          <w:sz w:val="19"/>
        </w:rPr>
        <w:t>/work/notifications</w:t>
      </w:r>
      <w:r>
        <w:t>. CRM routes use port 3017; member routes use 3018; public website routes can use 3019. Brackets name a route parameter, not text to paste into a browser. Choose a real record or site id from the application.</w:t>
      </w:r>
    </w:p>
    <w:p>
      <w:pPr/>
      <w:r>
        <w:t>This guide covers Task creation and priority; User and team assignment; Due dates; Complete task; Notification lists and read state; Task export.</w:t>
      </w:r>
    </w:p>
    <w:p>
      <w:pPr>
        <w:keepNext/>
        <w:jc w:val="center"/>
      </w:pPr>
      <w:r>
        <w:drawing>
          <wp:inline xmlns:a="http://schemas.openxmlformats.org/drawingml/2006/main" xmlns:pic="http://schemas.openxmlformats.org/drawingml/2006/picture">
            <wp:extent cx="6355080" cy="3301340"/>
            <wp:docPr id="1" name="Picture 1" descr="File journey for Nexora tasks and notifications"/>
            <wp:cNvGraphicFramePr>
              <a:graphicFrameLocks noChangeAspect="1"/>
            </wp:cNvGraphicFramePr>
            <a:graphic>
              <a:graphicData uri="http://schemas.openxmlformats.org/drawingml/2006/picture">
                <pic:pic>
                  <pic:nvPicPr>
                    <pic:cNvPr id="0" name="guide-17-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S0538 WorkModule.cs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S0520 WorkEntities.cs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11">
        <w:r>
          <w:rPr>
            <w:color w:val="263D55"/>
          </w:rPr>
          <w:t>apps/web/src/features/operations/operations-workspace.tsx</w:t>
        </w:r>
      </w:hyperlink>
    </w:p>
    <w:p>
      <w:pPr>
        <w:keepNext/>
        <w:spacing w:after="40"/>
      </w:pPr>
      <w:r>
        <w:rPr>
          <w:b/>
        </w:rPr>
        <w:t>Server S0538</w:t>
      </w:r>
    </w:p>
    <w:p>
      <w:pPr/>
      <w:hyperlink r:id="rId12">
        <w:r>
          <w:rPr>
            <w:color w:val="263D55"/>
          </w:rPr>
          <w:t>backend/src/Modules/Nexora.Modules.Work/WorkModule.cs</w:t>
        </w:r>
      </w:hyperlink>
    </w:p>
    <w:p>
      <w:pPr>
        <w:keepNext/>
        <w:spacing w:after="40"/>
      </w:pPr>
      <w:r>
        <w:rPr>
          <w:b/>
        </w:rPr>
        <w:t>Data S0520</w:t>
      </w:r>
    </w:p>
    <w:p>
      <w:pPr/>
      <w:hyperlink r:id="rId13">
        <w:r>
          <w:rPr>
            <w:color w:val="263D55"/>
          </w:rPr>
          <w:t>backend/src/Modules/Nexora.Modules.Work/Domain/WorkEntities.cs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Work route chooses items or notifications.</w:t>
      </w:r>
    </w:p>
    <w:p>
      <w:pPr/>
      <w:r>
        <w:t>2. OperationsWorkspace loads records through moduleApi.</w:t>
      </w:r>
    </w:p>
    <w:p>
      <w:pPr/>
      <w:r>
        <w:t>3. Task creation sends the fields described in the work actions array.</w:t>
      </w:r>
    </w:p>
    <w:p>
      <w:pPr/>
      <w:r>
        <w:t>4. Completing sends a patch with its current version and updated status.</w:t>
      </w:r>
    </w:p>
    <w:p>
      <w:pPr/>
      <w:r>
        <w:t>5. The server persists task or notification changes for the current tenant.</w:t>
      </w:r>
    </w:p>
    <w:p>
      <w:pPr>
        <w:pStyle w:val="Heading2"/>
      </w:pPr>
      <w:r>
        <w:t>Read the code with an explanation</w:t>
      </w:r>
    </w:p>
    <w:p>
      <w:pPr/>
      <w:r>
        <w:t>A task is a stored item with title, priority, status and optional due date and assignee. Staff notifications are separate from the Member Portal inbox. The shared operation form converts number and date fields before it sends JSON. A date label change is safe; changing conversion logic can change stored times.</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S0538 backend/src/Modules/Nexora.Modules.Work/WorkModule.cs</w:t>
      </w:r>
    </w:p>
    <w:p>
      <w:pPr/>
      <w:r>
        <w:t>Extract from source line 25. A fragment from a long line is shown without the rest of that line.</w:t>
      </w:r>
    </w:p>
    <w:p>
      <w:pPr>
        <w:pStyle w:val="GuideCode"/>
        <w:keepNext w:val="0"/>
      </w:pPr>
      <w:r>
        <w:t>0025  ork.manage", typeof(WorkItem));api.MapGet("/directory",(IIdentityDirectory directory,C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S0520 backend/src/Modules/Nexora.Modules.Work/Domain/WorkEntities.cs</w:t>
      </w:r>
    </w:p>
    <w:p>
      <w:pPr/>
      <w:r>
        <w:t>Selected opening lines with their original numbers. The complete file is in the HTML source library.</w:t>
      </w:r>
    </w:p>
    <w:p>
      <w:pPr>
        <w:pStyle w:val="GuideCode"/>
        <w:keepNext/>
      </w:pPr>
      <w:r>
        <w:t>0001  using Nexora.BuildingBlocks.Domain;</w:t>
      </w:r>
    </w:p>
    <w:p>
      <w:pPr>
        <w:pStyle w:val="GuideCode"/>
        <w:keepNext w:val="0"/>
      </w:pPr>
      <w:r>
        <w:t>0002  namespace Nexora.Modules.Work.Domain;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apps/web/src/features/operations/operations-workspace.tsx</w:t>
        </w:r>
      </w:hyperlink>
      <w:r>
        <w:t>.</w:t>
      </w:r>
    </w:p>
    <w:p>
      <w:pPr/>
      <w:r>
        <w:t xml:space="preserve">2. Press Ctrl+F and search for </w:t>
      </w:r>
      <w:r>
        <w:rPr>
          <w:rFonts w:ascii="Consolas" w:hAnsi="Consolas"/>
          <w:sz w:val="19"/>
        </w:rPr>
        <w:t>Show assignees and teams</w:t>
      </w:r>
      <w:r>
        <w:t>. In this snapshot it appears at line 28.</w:t>
      </w:r>
    </w:p>
    <w:p>
      <w:pPr/>
      <w:r>
        <w:t>3. Replace this Work-only button label. Open task creation and verify the directory still loads. Inspect Engagement because it shares the component.</w:t>
      </w:r>
    </w:p>
    <w:p>
      <w:pPr/>
      <w:r>
        <w:t xml:space="preserve">4. Replace only </w:t>
      </w:r>
      <w:r>
        <w:rPr>
          <w:rFonts w:ascii="Consolas" w:hAnsi="Consolas"/>
          <w:sz w:val="19"/>
        </w:rPr>
        <w:t>Show assignees and teams</w:t>
      </w:r>
      <w:r>
        <w:t xml:space="preserve"> with </w:t>
      </w:r>
      <w:r>
        <w:rPr>
          <w:rFonts w:ascii="Consolas" w:hAnsi="Consolas"/>
          <w:sz w:val="19"/>
        </w:rPr>
        <w:t>Find staff and teams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28. A fragment from a long line is shown without the rest of that line.</w:t>
      </w:r>
    </w:p>
    <w:p>
      <w:pPr>
        <w:pStyle w:val="GuideCode"/>
        <w:keepNext w:val="0"/>
      </w:pPr>
      <w:r>
        <w:t>0028  ectory(results);return results;})}&gt;Show assignees and teams&lt;/button&gt;}&lt;p className="text-sm text-slate-50</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Marking an item done or a notification read changes persistent records. A listed notification is not proof of a push or email provider delivery.</w:t>
      </w:r>
    </w:p>
    <w:p>
      <w:pPr>
        <w:pStyle w:val="Heading2"/>
      </w:pPr>
      <w:r>
        <w:t>Continue learning</w:t>
      </w:r>
    </w:p>
    <w:p>
      <w:pPr/>
      <w:r>
        <w:t xml:space="preserve">Related guides </w:t>
      </w:r>
      <w:hyperlink w:anchor="guide_16">
        <w:r>
          <w:rPr>
            <w:color w:val="263D55"/>
          </w:rPr>
          <w:t>16 Nexora engagement and fundraising</w:t>
        </w:r>
      </w:hyperlink>
      <w:r>
        <w:t xml:space="preserve">, </w:t>
      </w:r>
      <w:hyperlink w:anchor="guide_18">
        <w:r>
          <w:rPr>
            <w:color w:val="263D55"/>
          </w:rPr>
          <w:t>18 Nexora imports exports and migration</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operations/operations-workspace.tsx" TargetMode="External"/><Relationship Id="rId12" Type="http://schemas.openxmlformats.org/officeDocument/2006/relationships/hyperlink" Target="D:/Projects new/Nexora/backend/src/Modules/Nexora.Modules.Work/WorkModule.cs" TargetMode="External"/><Relationship Id="rId13" Type="http://schemas.openxmlformats.org/officeDocument/2006/relationships/hyperlink" Target="D:/Projects new/Nexora/backend/src/Modules/Nexora.Modules.Work/Domain/Work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tasks and notifications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