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automation controllers</w:t>
      </w:r>
    </w:p>
    <w:p>
      <w:pPr>
        <w:keepNext/>
        <w:spacing w:after="40"/>
      </w:pPr>
      <w:r>
        <w:t>Document 21 of the Nexora learning guides</w:t>
      </w:r>
    </w:p>
    <w:p>
      <w:pPr/>
      <w:r>
        <w:t>Source snapshot 13 October 2026 at 17:12 UTC</w:t>
      </w:r>
    </w:p>
    <w:p>
      <w:pPr/>
      <w:r>
        <w:t>Understand the Attributes, Rules and Design controllers for configuring entity forms.</w:t>
      </w:r>
    </w:p>
    <w:p>
      <w:pPr>
        <w:pStyle w:val="Heading2"/>
      </w:pPr>
      <w:r>
        <w:t>Recognise the screen and its scope</w:t>
      </w:r>
    </w:p>
    <w:p>
      <w:pPr/>
      <w:r>
        <w:t xml:space="preserve">Open </w:t>
      </w:r>
      <w:r>
        <w:rPr>
          <w:rFonts w:ascii="Consolas" w:hAnsi="Consolas"/>
          <w:sz w:val="19"/>
        </w:rPr>
        <w:t>/automations</w:t>
      </w:r>
      <w:r>
        <w:t xml:space="preserve">, </w:t>
      </w:r>
      <w:r>
        <w:rPr>
          <w:rFonts w:ascii="Consolas" w:hAnsi="Consolas"/>
          <w:sz w:val="19"/>
        </w:rPr>
        <w:t>/automations/type/[automation]</w:t>
      </w:r>
      <w:r>
        <w:t xml:space="preserve">, </w:t>
      </w:r>
      <w:r>
        <w:rPr>
          <w:rFonts w:ascii="Consolas" w:hAnsi="Consolas"/>
          <w:sz w:val="19"/>
        </w:rPr>
        <w:t>/automations/[module]/attributes-controller</w:t>
      </w:r>
      <w:r>
        <w:t xml:space="preserve">, </w:t>
      </w:r>
      <w:r>
        <w:rPr>
          <w:rFonts w:ascii="Consolas" w:hAnsi="Consolas"/>
          <w:sz w:val="19"/>
        </w:rPr>
        <w:t>/automations/[module]/rules-controller</w:t>
      </w:r>
      <w:r>
        <w:t xml:space="preserve">, </w:t>
      </w:r>
      <w:r>
        <w:rPr>
          <w:rFonts w:ascii="Consolas" w:hAnsi="Consolas"/>
          <w:sz w:val="19"/>
        </w:rPr>
        <w:t>/automations/[module]/design-controller</w:t>
      </w:r>
      <w:r>
        <w:t>. CRM routes use port 3017; member routes use 3018; public website routes can use 3019. Brackets name a route parameter, not text to paste into a browser. Choose a real record or site id from the application.</w:t>
      </w:r>
    </w:p>
    <w:p>
      <w:pPr/>
      <w:r>
        <w:t>This guide covers Choose controller then entity; Typed custom attributes; Formula and conditional rules; Section layouts and visibility; Metadata and validation; Applying configured sections on record forms.</w:t>
      </w:r>
    </w:p>
    <w:p>
      <w:pPr>
        <w:keepNext/>
        <w:jc w:val="center"/>
      </w:pPr>
      <w:r>
        <w:drawing>
          <wp:inline xmlns:a="http://schemas.openxmlformats.org/drawingml/2006/main" xmlns:pic="http://schemas.openxmlformats.org/drawingml/2006/picture">
            <wp:extent cx="6355080" cy="3301340"/>
            <wp:docPr id="1" name="Picture 1" descr="File journey for Nexora automation controllers"/>
            <wp:cNvGraphicFramePr>
              <a:graphicFrameLocks noChangeAspect="1"/>
            </wp:cNvGraphicFramePr>
            <a:graphic>
              <a:graphicData uri="http://schemas.openxmlformats.org/drawingml/2006/picture">
                <pic:pic>
                  <pic:nvPicPr>
                    <pic:cNvPr id="0" name="guide-21-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S0136 automation-controller.tsx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S0191 AutomationConfiguration.cs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S0193 EntityAttributes.cs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S0136</w:t>
      </w:r>
    </w:p>
    <w:p>
      <w:pPr/>
      <w:hyperlink r:id="rId11">
        <w:r>
          <w:rPr>
            <w:color w:val="263D55"/>
          </w:rPr>
          <w:t>apps/web/src/features/shared/automation-controller.tsx</w:t>
        </w:r>
      </w:hyperlink>
    </w:p>
    <w:p>
      <w:pPr>
        <w:keepNext/>
        <w:spacing w:after="40"/>
      </w:pPr>
      <w:r>
        <w:rPr>
          <w:b/>
        </w:rPr>
        <w:t>Server S0191</w:t>
      </w:r>
    </w:p>
    <w:p>
      <w:pPr/>
      <w:hyperlink r:id="rId12">
        <w:r>
          <w:rPr>
            <w:color w:val="263D55"/>
          </w:rPr>
          <w:t>backend/src/BuildingBlocks/Nexora.BuildingBlocks/Persistence/AutomationConfiguration.cs</w:t>
        </w:r>
      </w:hyperlink>
    </w:p>
    <w:p>
      <w:pPr>
        <w:keepNext/>
        <w:spacing w:after="40"/>
      </w:pPr>
      <w:r>
        <w:rPr>
          <w:b/>
        </w:rPr>
        <w:t>Data S0193</w:t>
      </w:r>
    </w:p>
    <w:p>
      <w:pPr/>
      <w:hyperlink r:id="rId13">
        <w:r>
          <w:rPr>
            <w:color w:val="263D55"/>
          </w:rPr>
          <w:t>backend/src/BuildingBlocks/Nexora.BuildingBlocks/Persistence/EntityAttributes.cs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automation menu chooses controller type and module.</w:t>
      </w:r>
    </w:p>
    <w:p>
      <w:pPr/>
      <w:r>
        <w:t>2. Metadata provides entities and supported fields.</w:t>
      </w:r>
    </w:p>
    <w:p>
      <w:pPr/>
      <w:r>
        <w:t>3. The controller edits attribute, rule or section definitions.</w:t>
      </w:r>
    </w:p>
    <w:p>
      <w:pPr/>
      <w:r>
        <w:t>4. Shared backend endpoints validate and store configuration.</w:t>
      </w:r>
    </w:p>
    <w:p>
      <w:pPr/>
      <w:r>
        <w:t>5. Record forms render configured fields, and server save rules apply configured calculations.</w:t>
      </w:r>
    </w:p>
    <w:p>
      <w:pPr>
        <w:pStyle w:val="Heading2"/>
      </w:pPr>
      <w:r>
        <w:t>Read the code with an explanation</w:t>
      </w:r>
    </w:p>
    <w:p>
      <w:pPr/>
      <w:r>
        <w:t>A controller changes configuration for records, while a workflow coordinates a sequence of actions. Attributes define extra data, Rules calculate or condition values, and Design arranges record sections. Several modules reuse the same controller UI and BuildingBlocks storage. Changes to shared metadata can affect every registered module.</w:t>
      </w:r>
    </w:p>
    <w:p>
      <w:pPr>
        <w:pStyle w:val="GuideSmall"/>
        <w:keepNext/>
      </w:pPr>
      <w:r>
        <w:t>Source reference S0136 apps/web/src/features/shared/automation-controller.tsx</w:t>
      </w:r>
    </w:p>
    <w:p>
      <w:pPr/>
      <w:r>
        <w:t>Selected opening lines with their original numbers. The complete file is in the HTML source library.</w:t>
      </w:r>
    </w:p>
    <w:p>
      <w:pPr>
        <w:pStyle w:val="GuideCode"/>
        <w:keepNext/>
      </w:pPr>
      <w:r>
        <w:t>0001  "use client";</w:t>
      </w:r>
    </w:p>
    <w:p>
      <w:pPr>
        <w:pStyle w:val="GuideCode"/>
        <w:keepNext/>
      </w:pPr>
      <w:r>
        <w:t>0002  import { EntityHeading } from "@/components/ui/entity-heading";</w:t>
      </w:r>
    </w:p>
    <w:p>
      <w:pPr>
        <w:pStyle w:val="GuideCode"/>
      </w:pPr>
      <w:r>
        <w:t>0003  import { useEffect, useRef, useState } from "react";</w:t>
      </w:r>
    </w:p>
    <w:p>
      <w:pPr>
        <w:pStyle w:val="GuideCode"/>
        <w:keepNext/>
      </w:pPr>
      <w:r>
        <w:t>0004  import Link from "next/link";</w:t>
      </w:r>
    </w:p>
    <w:p>
      <w:pPr>
        <w:pStyle w:val="GuideCode"/>
        <w:keepNext/>
      </w:pPr>
      <w:r>
        <w:t>0005  import { attributeEntities, entityLabel, reconcileSections } from "./attribute-entities";</w:t>
      </w:r>
    </w:p>
    <w:p>
      <w:pPr>
        <w:pStyle w:val="GuideCode"/>
        <w:keepNext w:val="0"/>
      </w:pPr>
      <w:r>
        <w:t>0006  import { useAttributeEntities } from "./use-attribute-entities";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S0191 backend/src/BuildingBlocks/Nexora.BuildingBlocks/Persistence/AutomationConfiguration.cs</w:t>
      </w:r>
    </w:p>
    <w:p>
      <w:pPr/>
      <w:r>
        <w:t>Extract from source line 60. A fragment from a long line is shown without the rest of that line.</w:t>
      </w:r>
    </w:p>
    <w:p>
      <w:pPr>
        <w:pStyle w:val="GuideCode"/>
        <w:keepNext w:val="0"/>
      </w:pPr>
      <w:r>
        <w:t>0060          api.MapGet("/automations/{entityType}", async (string entityType, TDb db, IRequestIdentity who, HttpContext http, CancellationToken ct)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S0193 backend/src/BuildingBlocks/Nexora.BuildingBlocks/Persistence/EntityAttributes.cs</w:t>
      </w:r>
    </w:p>
    <w:p>
      <w:pPr/>
      <w:r>
        <w:t>Selected opening lines with their original numbers. The complete file is in the HTML source library.</w:t>
      </w:r>
    </w:p>
    <w:p>
      <w:pPr>
        <w:pStyle w:val="GuideCode"/>
        <w:keepNext/>
      </w:pPr>
      <w:r>
        <w:t>0001  using System.ComponentModel.DataAnnotations;</w:t>
      </w:r>
    </w:p>
    <w:p>
      <w:pPr>
        <w:pStyle w:val="GuideCode"/>
        <w:keepNext/>
      </w:pPr>
      <w:r>
        <w:t>0002  using Microsoft.AspNetCore.Builder;</w:t>
      </w:r>
    </w:p>
    <w:p>
      <w:pPr>
        <w:pStyle w:val="GuideCode"/>
      </w:pPr>
      <w:r>
        <w:t>0003  using Microsoft.AspNetCore.Http;</w:t>
      </w:r>
    </w:p>
    <w:p>
      <w:pPr>
        <w:pStyle w:val="GuideCode"/>
        <w:keepNext/>
      </w:pPr>
      <w:r>
        <w:t>0004  using Microsoft.AspNetCore.Routing;</w:t>
      </w:r>
    </w:p>
    <w:p>
      <w:pPr>
        <w:pStyle w:val="GuideCode"/>
        <w:keepNext/>
      </w:pPr>
      <w:r>
        <w:t>0005  using Microsoft.EntityFrameworkCore;</w:t>
      </w:r>
    </w:p>
    <w:p>
      <w:pPr>
        <w:pStyle w:val="GuideCode"/>
        <w:keepNext w:val="0"/>
      </w:pPr>
      <w:r>
        <w:t>0006  using Microsoft.Extensions.DependencyInjection;</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4">
        <w:r>
          <w:rPr>
            <w:color w:val="263D55"/>
          </w:rPr>
          <w:t>apps/web/src/app/(platform)/automations/page.tsx</w:t>
        </w:r>
      </w:hyperlink>
      <w:r>
        <w:t>.</w:t>
      </w:r>
    </w:p>
    <w:p>
      <w:pPr/>
      <w:r>
        <w:t xml:space="preserve">2. Press Ctrl+F and search for </w:t>
      </w:r>
      <w:r>
        <w:rPr>
          <w:rFonts w:ascii="Consolas" w:hAnsi="Consolas"/>
          <w:sz w:val="19"/>
        </w:rPr>
        <w:t>Choose an automation type first, then select the entities it should apply to.</w:t>
      </w:r>
      <w:r>
        <w:t>. In this snapshot it appears at line 10.</w:t>
      </w:r>
    </w:p>
    <w:p>
      <w:pPr/>
      <w:r>
        <w:t>3. Replace only the introduction sentence. Open the controller menu and follow one entity into each controller without saving configuration.</w:t>
      </w:r>
    </w:p>
    <w:p>
      <w:pPr/>
      <w:r>
        <w:t xml:space="preserve">4. Replace only </w:t>
      </w:r>
      <w:r>
        <w:rPr>
          <w:rFonts w:ascii="Consolas" w:hAnsi="Consolas"/>
          <w:sz w:val="19"/>
        </w:rPr>
        <w:t>Choose an automation type first, then select the entities it should apply to.</w:t>
      </w:r>
      <w:r>
        <w:t xml:space="preserve"> with </w:t>
      </w:r>
      <w:r>
        <w:rPr>
          <w:rFonts w:ascii="Consolas" w:hAnsi="Consolas"/>
          <w:sz w:val="19"/>
        </w:rPr>
        <w:t>Choose a controller, then choose the records it should apply to.</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10. A fragment from a long line is shown without the rest of that line.</w:t>
      </w:r>
    </w:p>
    <w:p>
      <w:pPr>
        <w:pStyle w:val="GuideCode"/>
        <w:keepNext w:val="0"/>
      </w:pPr>
      <w:r>
        <w:t>0010  Name="mt-2 text-sm text-slate-600"&gt;Choose an automation type first, then select the entities it should apply to.&lt;/p&gt;&lt;/header&gt;&lt;section className="grid gap-4 s</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Configuration edits can affect many forms and future saves. Formula syntax and entity metadata must remain valid. Styling defaults are separate from per-entity configuration.</w:t>
      </w:r>
    </w:p>
    <w:p>
      <w:pPr>
        <w:pStyle w:val="Heading2"/>
      </w:pPr>
      <w:r>
        <w:t>Continue learning</w:t>
      </w:r>
    </w:p>
    <w:p>
      <w:pPr/>
      <w:r>
        <w:t xml:space="preserve">Related guides </w:t>
      </w:r>
      <w:hyperlink w:anchor="guide_08">
        <w:r>
          <w:rPr>
            <w:color w:val="263D55"/>
          </w:rPr>
          <w:t>08 Nexora record profiles and related information</w:t>
        </w:r>
      </w:hyperlink>
      <w:r>
        <w:t xml:space="preserve">, </w:t>
      </w:r>
      <w:hyperlink w:anchor="guide_11">
        <w:r>
          <w:rPr>
            <w:color w:val="263D55"/>
          </w:rPr>
          <w:t>11 Nexora membership setup and products</w:t>
        </w:r>
      </w:hyperlink>
      <w:r>
        <w:t xml:space="preserve">, </w:t>
      </w:r>
      <w:hyperlink w:anchor="guide_22">
        <w:r>
          <w:rPr>
            <w:color w:val="263D55"/>
          </w:rPr>
          <w:t>22 Nexora workflow designer and runtime</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shared/automation-controller.tsx" TargetMode="External"/><Relationship Id="rId12" Type="http://schemas.openxmlformats.org/officeDocument/2006/relationships/hyperlink" Target="D:/Projects new/Nexora/backend/src/BuildingBlocks/Nexora.BuildingBlocks/Persistence/AutomationConfiguration.cs" TargetMode="External"/><Relationship Id="rId13" Type="http://schemas.openxmlformats.org/officeDocument/2006/relationships/hyperlink" Target="D:/Projects new/Nexora/backend/src/BuildingBlocks/Nexora.BuildingBlocks/Persistence/EntityAttributes.cs" TargetMode="External"/><Relationship Id="rId14" Type="http://schemas.openxmlformats.org/officeDocument/2006/relationships/hyperlink" Target="D:/Projects new/Nexora/apps/web/src/app/(platform)/automations/page.t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automation controllers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