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Nexora website editor and publishing</w:t>
      </w:r>
    </w:p>
    <w:p>
      <w:pPr>
        <w:keepNext/>
        <w:spacing w:after="40"/>
      </w:pPr>
      <w:r>
        <w:t>Document 27 of the Nexora learning guides</w:t>
      </w:r>
    </w:p>
    <w:p>
      <w:pPr/>
      <w:r>
        <w:t>Source snapshot 13 October 2026 at 17:12 UTC</w:t>
      </w:r>
    </w:p>
    <w:p>
      <w:pPr/>
      <w:r>
        <w:t>Understand CRM-managed pages, design controls, media, revision history and publication.</w:t>
      </w:r>
    </w:p>
    <w:p>
      <w:pPr>
        <w:pStyle w:val="Heading2"/>
      </w:pPr>
      <w:r>
        <w:t>Recognise the screen and its scope</w:t>
      </w:r>
    </w:p>
    <w:p>
      <w:pPr/>
      <w:r>
        <w:t xml:space="preserve">Open </w:t>
      </w:r>
      <w:r>
        <w:rPr>
          <w:rFonts w:ascii="Consolas" w:hAnsi="Consolas"/>
          <w:sz w:val="19"/>
        </w:rPr>
        <w:t>/website</w:t>
      </w:r>
      <w:r>
        <w:t>. CRM routes use port 3017; member routes use 3018; public website routes can use 3019. Brackets name a route parameter, not text to paste into a browser. Choose a real record or site id from the application.</w:t>
      </w:r>
    </w:p>
    <w:p>
      <w:pPr/>
      <w:r>
        <w:t>This guide covers Website creation and page list; Block editor and studio template; Layout colours typography and appearance; Per-block motion and hover controls; Media upload and scanning; Draft save preview publish schedules redirects and history.</w:t>
      </w:r>
    </w:p>
    <w:p>
      <w:pPr>
        <w:keepNext/>
        <w:jc w:val="center"/>
      </w:pPr>
      <w:r>
        <w:drawing>
          <wp:inline xmlns:a="http://schemas.openxmlformats.org/drawingml/2006/main" xmlns:pic="http://schemas.openxmlformats.org/drawingml/2006/picture">
            <wp:extent cx="6355080" cy="3301340"/>
            <wp:docPr id="1" name="Picture 1" descr="File journey for Nexora website editor and publishing"/>
            <wp:cNvGraphicFramePr>
              <a:graphicFrameLocks noChangeAspect="1"/>
            </wp:cNvGraphicFramePr>
            <a:graphic>
              <a:graphicData uri="http://schemas.openxmlformats.org/drawingml/2006/picture">
                <pic:pic>
                  <pic:nvPicPr>
                    <pic:cNvPr id="0" name="guide-27-map.png"/>
                    <pic:cNvPicPr/>
                  </pic:nvPicPr>
                  <pic:blipFill>
                    <a:blip r:embed="rId10"/>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S0066 content-workspace.tsx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S0218 ContentModule.cs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S0216 ContentEntities.cs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S0066</w:t>
      </w:r>
    </w:p>
    <w:p>
      <w:pPr/>
      <w:hyperlink r:id="rId11">
        <w:r>
          <w:rPr>
            <w:color w:val="263D55"/>
          </w:rPr>
          <w:t>apps/web/src/features/content/content-workspace.tsx</w:t>
        </w:r>
      </w:hyperlink>
    </w:p>
    <w:p>
      <w:pPr>
        <w:keepNext/>
        <w:spacing w:after="40"/>
      </w:pPr>
      <w:r>
        <w:rPr>
          <w:b/>
        </w:rPr>
        <w:t>Server S0218</w:t>
      </w:r>
    </w:p>
    <w:p>
      <w:pPr/>
      <w:hyperlink r:id="rId12">
        <w:r>
          <w:rPr>
            <w:color w:val="263D55"/>
          </w:rPr>
          <w:t>backend/src/Modules/Nexora.Modules.Content/ContentModule.cs</w:t>
        </w:r>
      </w:hyperlink>
    </w:p>
    <w:p>
      <w:pPr>
        <w:keepNext/>
        <w:spacing w:after="40"/>
      </w:pPr>
      <w:r>
        <w:rPr>
          <w:b/>
        </w:rPr>
        <w:t>Data S0216</w:t>
      </w:r>
    </w:p>
    <w:p>
      <w:pPr/>
      <w:hyperlink r:id="rId13">
        <w:r>
          <w:rPr>
            <w:color w:val="263D55"/>
          </w:rPr>
          <w:t>backend/src/Modules/Nexora.Modules.Content/ContentEntities.cs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The workspace loads the site, page drafts, design settings and media.</w:t>
      </w:r>
    </w:p>
    <w:p>
      <w:pPr/>
      <w:r>
        <w:t>2. BlockEditor collects structured blocks and their layout and motion.</w:t>
      </w:r>
    </w:p>
    <w:p>
      <w:pPr/>
      <w:r>
        <w:t>3. Saving creates or updates a revision using the expected version.</w:t>
      </w:r>
    </w:p>
    <w:p>
      <w:pPr/>
      <w:r>
        <w:t>4. An authorised publish or schedule action selects what visitors may see.</w:t>
      </w:r>
    </w:p>
    <w:p>
      <w:pPr/>
      <w:r>
        <w:t>5. Public routes render published revisions and published design settings.</w:t>
      </w:r>
    </w:p>
    <w:p>
      <w:pPr>
        <w:pStyle w:val="Heading2"/>
      </w:pPr>
      <w:r>
        <w:t>Read the code with an explanation</w:t>
      </w:r>
    </w:p>
    <w:p>
      <w:pPr/>
      <w:r>
        <w:t>A page is a stored address and publication pointer; a revision holds title, description and blocks. A draft can change without changing the visitor page. WebsiteDesign and WebsiteMotion describe manageable design fields, not just hardcoded CSS. The editor and public renderer share types so the stored block data can be rendered consistently.</w:t>
      </w:r>
    </w:p>
    <w:p>
      <w:pPr>
        <w:pStyle w:val="GuideSmall"/>
        <w:keepNext/>
      </w:pPr>
      <w:r>
        <w:t>Source reference S0066 apps/web/src/features/content/content-workspace.tsx</w:t>
      </w:r>
    </w:p>
    <w:p>
      <w:pPr/>
      <w:r>
        <w:t>Selected opening lines with their original numbers. The complete file is in the HTML source library.</w:t>
      </w:r>
    </w:p>
    <w:p>
      <w:pPr>
        <w:pStyle w:val="GuideCode"/>
        <w:keepNext/>
      </w:pPr>
      <w:r>
        <w:t>0001  "use client";</w:t>
      </w:r>
    </w:p>
    <w:p>
      <w:pPr>
        <w:pStyle w:val="GuideCode"/>
        <w:keepNext/>
      </w:pPr>
      <w:r>
        <w:t>0002  import { WorkspaceHeading } from "@/components/ui/workspace-heading";</w:t>
      </w:r>
    </w:p>
    <w:p>
      <w:pPr>
        <w:pStyle w:val="GuideCode"/>
      </w:pPr>
      <w:r>
        <w:t>0003  import { RecordListing } from "../shared/record-listing";</w:t>
      </w:r>
    </w:p>
    <w:p>
      <w:pPr>
        <w:pStyle w:val="GuideCode"/>
        <w:keepNext/>
      </w:pPr>
      <w:r>
        <w:t>0004  import listingStyles from "../crm/record-listing.module.css";</w:t>
      </w:r>
    </w:p>
    <w:p>
      <w:pPr>
        <w:pStyle w:val="GuideCode"/>
        <w:keepNext/>
      </w:pPr>
      <w:r>
        <w:t>0005  import { ArrowLeft, Plus } from "lucide-react";</w:t>
      </w:r>
    </w:p>
    <w:p>
      <w:pPr>
        <w:pStyle w:val="GuideCode"/>
        <w:keepNext w:val="0"/>
      </w:pPr>
      <w:r>
        <w:t>0007  import { useEffect, useRef, useState } from "react";</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S0218 backend/src/Modules/Nexora.Modules.Content/ContentModule.cs</w:t>
      </w:r>
    </w:p>
    <w:p>
      <w:pPr/>
      <w:r>
        <w:t>Extract from source line 33. A fragment from a long line is shown without the rest of that line.</w:t>
      </w:r>
    </w:p>
    <w:p>
      <w:pPr>
        <w:pStyle w:val="GuideCode"/>
        <w:keepNext w:val="0"/>
      </w:pPr>
      <w:r>
        <w:t>0033          var api = endpoints.MapGroup("/api/v1/content").RequireAuthorization("content.read").WithTags("Content");</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S0216 backend/src/Modules/Nexora.Modules.Content/ContentEntities.cs</w:t>
      </w:r>
    </w:p>
    <w:p>
      <w:pPr/>
      <w:r>
        <w:t>Selected opening lines with their original numbers. The complete file is in the HTML source library.</w:t>
      </w:r>
    </w:p>
    <w:p>
      <w:pPr>
        <w:pStyle w:val="GuideCode"/>
        <w:keepNext/>
      </w:pPr>
      <w:r>
        <w:t>0001  using Nexora.BuildingBlocks.Domain;</w:t>
      </w:r>
    </w:p>
    <w:p>
      <w:pPr>
        <w:pStyle w:val="GuideCode"/>
        <w:keepNext/>
      </w:pPr>
      <w:r>
        <w:t>0003  namespace Nexora.Modules.Content;</w:t>
      </w:r>
    </w:p>
    <w:p>
      <w:pPr>
        <w:pStyle w:val="GuideCode"/>
      </w:pPr>
      <w:r>
        <w:t>0005  public sealed class Site : TenantEntity</w:t>
      </w:r>
    </w:p>
    <w:p>
      <w:pPr>
        <w:pStyle w:val="GuideCode"/>
        <w:keepNext/>
      </w:pPr>
      <w:r>
        <w:t>0006  {</w:t>
      </w:r>
    </w:p>
    <w:p>
      <w:pPr>
        <w:pStyle w:val="GuideCode"/>
        <w:keepNext/>
      </w:pPr>
      <w:r>
        <w:t>0007      public string Name { get; set; } = "";</w:t>
      </w:r>
    </w:p>
    <w:p>
      <w:pPr>
        <w:pStyle w:val="GuideCode"/>
        <w:keepNext w:val="0"/>
      </w:pPr>
      <w:r>
        <w:t>0008      public string Tagline { get; set; } = "";</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11">
        <w:r>
          <w:rPr>
            <w:color w:val="263D55"/>
          </w:rPr>
          <w:t>apps/web/src/features/content/content-workspace.tsx</w:t>
        </w:r>
      </w:hyperlink>
      <w:r>
        <w:t>.</w:t>
      </w:r>
    </w:p>
    <w:p>
      <w:pPr/>
      <w:r>
        <w:t xml:space="preserve">2. Press Ctrl+F and search for </w:t>
      </w:r>
      <w:r>
        <w:rPr>
          <w:rFonts w:ascii="Consolas" w:hAnsi="Consolas"/>
          <w:sz w:val="19"/>
        </w:rPr>
        <w:t>Create your association website</w:t>
      </w:r>
      <w:r>
        <w:t>. In this snapshot it appears at line 78.</w:t>
      </w:r>
    </w:p>
    <w:p>
      <w:pPr/>
      <w:r>
        <w:t>3. Replace this empty-site form heading only. Inspect it only on a local site without saved content. For an existing website, use the block editor to preview draft text and discard it without publishing.</w:t>
      </w:r>
    </w:p>
    <w:p>
      <w:pPr/>
      <w:r>
        <w:t xml:space="preserve">4. Replace only </w:t>
      </w:r>
      <w:r>
        <w:rPr>
          <w:rFonts w:ascii="Consolas" w:hAnsi="Consolas"/>
          <w:sz w:val="19"/>
        </w:rPr>
        <w:t>Create your association website</w:t>
      </w:r>
      <w:r>
        <w:t xml:space="preserve"> with </w:t>
      </w:r>
      <w:r>
        <w:rPr>
          <w:rFonts w:ascii="Consolas" w:hAnsi="Consolas"/>
          <w:sz w:val="19"/>
        </w:rPr>
        <w:t>Set up your association website</w:t>
      </w:r>
      <w:r>
        <w:t xml:space="preserve"> in that intended location. Keep quotes, tags, JSON keys and routes intact.</w:t>
      </w:r>
    </w:p>
    <w:p>
      <w:pPr/>
      <w:r>
        <w:t>5. Save with Ctrl+S. Inspect Problems and the local screen. Review the diff and restore the original text when you finish practising.</w:t>
      </w:r>
    </w:p>
    <w:p>
      <w:pPr/>
      <w:r>
        <w:t>Extract from source line 78. A fragment from a long line is shown without the rest of that line.</w:t>
      </w:r>
    </w:p>
    <w:p>
      <w:pPr>
        <w:pStyle w:val="GuideCode"/>
        <w:keepNext w:val="0"/>
      </w:pPr>
      <w:r>
        <w:t>0078   className="text-xl font-semibold"&gt;Create your association website&lt;/h2&gt;&lt;label className="block text-sm"&gt;Associa</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Changing default template data does not overwrite saved pages. Clean media, permissions, domain configuration and publish state affect visitor availability. A page labelled Contact does not establish delivery of real enquiries.</w:t>
      </w:r>
    </w:p>
    <w:p>
      <w:pPr>
        <w:pStyle w:val="Heading2"/>
      </w:pPr>
      <w:r>
        <w:t>Continue learning</w:t>
      </w:r>
    </w:p>
    <w:p>
      <w:pPr/>
      <w:r>
        <w:t xml:space="preserve">Related guides </w:t>
      </w:r>
      <w:hyperlink w:anchor="guide_26">
        <w:r>
          <w:rPr>
            <w:color w:val="263D55"/>
          </w:rPr>
          <w:t>26 Nexora portal management</w:t>
        </w:r>
      </w:hyperlink>
      <w:r>
        <w:t xml:space="preserve">, </w:t>
      </w:r>
      <w:hyperlink w:anchor="guide_28">
        <w:r>
          <w:rPr>
            <w:color w:val="263D55"/>
          </w:rPr>
          <w:t>28 Nexora public website</w:t>
        </w:r>
      </w:hyperlink>
      <w:r>
        <w:t xml:space="preserve">, </w:t>
      </w:r>
      <w:hyperlink w:anchor="guide_29">
        <w:r>
          <w:rPr>
            <w:color w:val="263D55"/>
          </w:rPr>
          <w:t>29 Nexora documents evidence and file safety</w:t>
        </w:r>
      </w:hyperlink>
      <w:r>
        <w:t>.</w:t>
      </w:r>
    </w:p>
    <w:sectPr w:rsidR="00FC693F" w:rsidRPr="0006063C" w:rsidSect="00034616">
      <w:footerReference w:type="default" r:id="rId9"/>
      <w:pgSz w:w="12240" w:h="15840"/>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uideSmall"/>
      <w:jc w:val="right"/>
    </w:pPr>
    <w:r>
      <w:t xml:space="preserve">Nexora learning guide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b w:val="0"/>
      <w:color w:val="000000"/>
      <w:sz w:val="22"/>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6"/>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3"/>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spacing w:before="240" w:after="140"/>
      <w:outlineLvl w:val="3"/>
    </w:pPr>
    <w:rPr>
      <w:rFonts w:asciiTheme="majorHAnsi" w:eastAsiaTheme="majorEastAsia" w:hAnsiTheme="majorHAnsi" w:cstheme="majorBidi" w:ascii="Arial" w:hAnsi="Arial"/>
      <w:b/>
      <w:bCs/>
      <w:i/>
      <w:iCs/>
      <w:color w:val="00000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val="0"/>
      <w:color w:val="000000"/>
      <w:spacing w:val="5"/>
      <w:kern w:val="28"/>
      <w:sz w:val="56"/>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b w:val="0"/>
      <w:i/>
      <w:iCs/>
      <w:color w:val="000000"/>
      <w:spacing w:val="15"/>
      <w:sz w:val="26"/>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keepLines/>
      <w:spacing w:after="0" w:before="0" w:line="245" w:lineRule="auto"/>
      <w:ind w:left="640" w:hanging="640"/>
    </w:pPr>
    <w:rPr>
      <w:rFonts w:ascii="Consolas" w:hAnsi="Consolas"/>
      <w:b w:val="0"/>
      <w:color w:val="000000"/>
      <w:sz w:val="19"/>
      <w:rFonts w:ascii="Consolas" w:hAnsi="Consolas" w:eastAsia="Consolas" w:cs="Consolas"/>
    </w:rPr>
  </w:style>
  <w:style w:type="paragraph" w:customStyle="1" w:styleId="TableBody">
    <w:name w:val="Table Body"/>
    <w:pPr>
      <w:spacing w:after="20" w:line="250" w:lineRule="auto"/>
    </w:pPr>
    <w:rPr>
      <w:rFonts w:ascii="Arial" w:hAnsi="Arial"/>
      <w:b w:val="0"/>
      <w:color w:val="000000"/>
      <w:sz w:val="20"/>
      <w:rFonts w:ascii="Arial" w:hAnsi="Arial" w:eastAsia="Arial" w:cs="Arial"/>
    </w:rPr>
  </w:style>
  <w:style w:type="paragraph" w:customStyle="1" w:styleId="GuideSmall">
    <w:name w:val="Guide Small"/>
    <w:rPr>
      <w:rFonts w:ascii="Arial" w:hAnsi="Arial"/>
      <w:b w:val="0"/>
      <w:color w:val="000000"/>
      <w:sz w:val="19"/>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D:/Projects new/Nexora/apps/web/src/features/content/content-workspace.tsx" TargetMode="External"/><Relationship Id="rId12" Type="http://schemas.openxmlformats.org/officeDocument/2006/relationships/hyperlink" Target="D:/Projects new/Nexora/backend/src/Modules/Nexora.Modules.Content/ContentModule.cs" TargetMode="External"/><Relationship Id="rId13" Type="http://schemas.openxmlformats.org/officeDocument/2006/relationships/hyperlink" Target="D:/Projects new/Nexora/backend/src/Modules/Nexora.Modules.Content/ContentEntities.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Nexora website editor and publishing</dc:title>
  <dc:subject>Beginner guidance with verified source maps</dc:subject>
  <dc:creator>Nexora</dc:creator>
  <cp:keywords/>
  <dc:description>generated by python-docx</dc:description>
  <cp:lastModifiedBy/>
  <cp:revision>1</cp:revision>
  <dcterms:created xsi:type="dcterms:W3CDTF">2013-12-23T23:15:00Z</dcterms:created>
  <dcterms:modified xsi:type="dcterms:W3CDTF">2013-12-23T23:15:00Z</dcterms:modified>
  <cp:category/>
</cp:coreProperties>
</file>