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member records and subscriptions</w:t>
      </w:r>
    </w:p>
    <w:p>
      <w:pPr>
        <w:keepNext/>
        <w:spacing w:after="40"/>
      </w:pPr>
      <w:r>
        <w:t>Document 9 of the Nexora learning guides</w:t>
      </w:r>
    </w:p>
    <w:p>
      <w:pPr/>
      <w:r>
        <w:t>Source snapshot 14 October 2026 at 06:41 UTC</w:t>
      </w:r>
    </w:p>
    <w:p>
      <w:pPr/>
      <w:r>
        <w:t>Understand the member listing, subscription detail, lifecycle changes and membership administration.</w:t>
      </w:r>
    </w:p>
    <w:p>
      <w:pPr>
        <w:pStyle w:val="Heading2"/>
      </w:pPr>
      <w:r>
        <w:t>Recognise the screen and its scope</w:t>
      </w:r>
    </w:p>
    <w:p>
      <w:pPr/>
      <w:r>
        <w:t xml:space="preserve">Open </w:t>
      </w:r>
      <w:r>
        <w:rPr>
          <w:rFonts w:ascii="Consolas" w:hAnsi="Consolas"/>
          <w:sz w:val="19"/>
        </w:rPr>
        <w:t>/membership/members</w:t>
      </w:r>
      <w:r>
        <w:t xml:space="preserve">, </w:t>
      </w:r>
      <w:r>
        <w:rPr>
          <w:rFonts w:ascii="Consolas" w:hAnsi="Consolas"/>
          <w:sz w:val="19"/>
        </w:rPr>
        <w:t>/membership/members/[id]</w:t>
      </w:r>
      <w:r>
        <w:t>. CRM routes use port 3017; member routes use 3018; public website routes can use 3019. Brackets name a route parameter, not text to paste into a browser. Choose a real record or site id from the application.</w:t>
      </w:r>
    </w:p>
    <w:p>
      <w:pPr/>
      <w:r>
        <w:t>This guide covers Member list and detail; Join dates and rejoin selection; Renew cancel lapse and archive actions; Administration classifications and financial arrangements; Options joining fees and timeline.</w:t>
      </w:r>
    </w:p>
    <w:p>
      <w:pPr>
        <w:keepNext/>
        <w:jc w:val="center"/>
      </w:pPr>
      <w:r>
        <w:drawing>
          <wp:inline xmlns:a="http://schemas.openxmlformats.org/drawingml/2006/main" xmlns:pic="http://schemas.openxmlformats.org/drawingml/2006/picture">
            <wp:extent cx="6355080" cy="3301340"/>
            <wp:docPr id="1" name="Picture 1" descr="File journey for Nexora member records and subscriptions"/>
            <wp:cNvGraphicFramePr>
              <a:graphicFrameLocks noChangeAspect="1"/>
            </wp:cNvGraphicFramePr>
            <a:graphic>
              <a:graphicData uri="http://schemas.openxmlformats.org/drawingml/2006/picture">
                <pic:pic>
                  <pic:nvPicPr>
                    <pic:cNvPr id="0" name="guide-09-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S0115 membership-workspace.tsx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S0512 MembershipModule.cs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S0418 MembershipEntities.cs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S0115</w:t>
      </w:r>
    </w:p>
    <w:p>
      <w:pPr/>
      <w:hyperlink r:id="rId11">
        <w:r>
          <w:rPr>
            <w:color w:val="263D55"/>
          </w:rPr>
          <w:t>apps/web/src/features/membership/membership-workspace.tsx</w:t>
        </w:r>
      </w:hyperlink>
    </w:p>
    <w:p>
      <w:pPr>
        <w:keepNext/>
        <w:spacing w:after="40"/>
      </w:pPr>
      <w:r>
        <w:rPr>
          <w:b/>
        </w:rPr>
        <w:t>Server S0512</w:t>
      </w:r>
    </w:p>
    <w:p>
      <w:pPr/>
      <w:hyperlink r:id="rId12">
        <w:r>
          <w:rPr>
            <w:color w:val="263D55"/>
          </w:rPr>
          <w:t>backend/src/Modules/Nexora.Modules.Membership/MembershipModule.cs</w:t>
        </w:r>
      </w:hyperlink>
    </w:p>
    <w:p>
      <w:pPr>
        <w:keepNext/>
        <w:spacing w:after="40"/>
      </w:pPr>
      <w:r>
        <w:rPr>
          <w:b/>
        </w:rPr>
        <w:t>Data S0418</w:t>
      </w:r>
    </w:p>
    <w:p>
      <w:pPr/>
      <w:hyperlink r:id="rId13">
        <w:r>
          <w:rPr>
            <w:color w:val="263D55"/>
          </w:rPr>
          <w:t>backend/src/Modules/Nexora.Modules.Membership/Domain/MembershipEntities.cs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members route loads the staff session and required permissions.</w:t>
      </w:r>
    </w:p>
    <w:p>
      <w:pPr/>
      <w:r>
        <w:t>2. MembershipList builds the member search, paging and sort request.</w:t>
      </w:r>
    </w:p>
    <w:p>
      <w:pPr/>
      <w:r>
        <w:t>3. Opening a subscription loads its connected detail and administration sections.</w:t>
      </w:r>
    </w:p>
    <w:p>
      <w:pPr/>
      <w:r>
        <w:t>4. A lifecycle action includes a version and reason.</w:t>
      </w:r>
    </w:p>
    <w:p>
      <w:pPr/>
      <w:r>
        <w:t>5. The module validates the transition, saves changes and records history.</w:t>
      </w:r>
    </w:p>
    <w:p>
      <w:pPr>
        <w:pStyle w:val="Heading2"/>
      </w:pPr>
      <w:r>
        <w:t>Read the code with an explanation</w:t>
      </w:r>
    </w:p>
    <w:p>
      <w:pPr/>
      <w:r>
        <w:t>A Contact is not the same record as a subscription. The subscription links a subject to a product, term and status. Renewal, rejoin and cancellation rules belong in the server files, while individual frontend components edit dates, classifications and arrangements. Trace the id carefully: a Contact id and a membership id are not interchangeable.</w:t>
      </w:r>
    </w:p>
    <w:p>
      <w:pPr>
        <w:pStyle w:val="GuideSmall"/>
        <w:keepNext/>
      </w:pPr>
      <w:r>
        <w:t>Source reference S0115 apps/web/src/features/membership/membership-workspace.tsx</w:t>
      </w:r>
    </w:p>
    <w:p>
      <w:pPr/>
      <w:r>
        <w:t>Selected opening lines with their original numbers. The complete file is in the HTML source library.</w:t>
      </w:r>
    </w:p>
    <w:p>
      <w:pPr>
        <w:pStyle w:val="GuideCode"/>
        <w:keepNext/>
      </w:pPr>
      <w:r>
        <w:t>0001  "use client";</w:t>
      </w:r>
    </w:p>
    <w:p>
      <w:pPr>
        <w:pStyle w:val="GuideCode"/>
        <w:keepNext/>
      </w:pPr>
      <w:r>
        <w:t>0002  import Link from "next/link";</w:t>
      </w:r>
    </w:p>
    <w:p>
      <w:pPr>
        <w:pStyle w:val="GuideCode"/>
      </w:pPr>
      <w:r>
        <w:t>0003  import { WorkspaceHeading } from "@/components/ui/workspace-heading";</w:t>
      </w:r>
    </w:p>
    <w:p>
      <w:pPr>
        <w:pStyle w:val="GuideCode"/>
        <w:keepNext/>
      </w:pPr>
      <w:r>
        <w:t>0004  import { useRouter } from "next/navigation";</w:t>
      </w:r>
    </w:p>
    <w:p>
      <w:pPr>
        <w:pStyle w:val="GuideCode"/>
        <w:keepNext/>
      </w:pPr>
      <w:r>
        <w:t>0005  import type { Route } from "next";</w:t>
      </w:r>
    </w:p>
    <w:p>
      <w:pPr>
        <w:pStyle w:val="GuideCode"/>
        <w:keepNext w:val="0"/>
      </w:pPr>
      <w:r>
        <w:t>0006  import { ArrowLeft, Plus, Eye, Pencil, Trash2 } from "lucide-react";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S0512 backend/src/Modules/Nexora.Modules.Membership/MembershipModule.cs</w:t>
      </w:r>
    </w:p>
    <w:p>
      <w:pPr/>
      <w:r>
        <w:t>Extract from source line 54. A fragment from a long line is shown without the rest of that line.</w:t>
      </w:r>
    </w:p>
    <w:p>
      <w:pPr>
        <w:pStyle w:val="GuideCode"/>
        <w:keepNext w:val="0"/>
      </w:pPr>
      <w:r>
        <w:t>0054          api.MapGet("/setup/{kind}", async (string kind, MembershipDbContext db, CancellationToken ct) =&gt;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S0418 backend/src/Modules/Nexora.Modules.Membership/Domain/MembershipEntities.cs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Nexora.Modules.Membership.Domain;</w:t>
      </w:r>
    </w:p>
    <w:p>
      <w:pPr>
        <w:pStyle w:val="GuideCode"/>
      </w:pPr>
      <w:r>
        <w:t>0003  public sealed class MembershipProduct : TenantEntity</w:t>
      </w:r>
    </w:p>
    <w:p>
      <w:pPr>
        <w:pStyle w:val="GuideCode"/>
        <w:keepNext/>
      </w:pPr>
      <w:r>
        <w:t>0004  {</w:t>
      </w:r>
    </w:p>
    <w:p>
      <w:pPr>
        <w:pStyle w:val="GuideCode"/>
        <w:keepNext/>
      </w:pPr>
      <w:r>
        <w:t>0005      public string Name { get; set; } = "";</w:t>
      </w:r>
    </w:p>
    <w:p>
      <w:pPr>
        <w:pStyle w:val="GuideCode"/>
        <w:keepNext w:val="0"/>
      </w:pPr>
      <w:r>
        <w:t>0006      public string Category { get; set; } =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apps/web/src/features/membership/membership-workspace.tsx</w:t>
        </w:r>
      </w:hyperlink>
      <w:r>
        <w:t>.</w:t>
      </w:r>
    </w:p>
    <w:p>
      <w:pPr/>
      <w:r>
        <w:t xml:space="preserve">2. Press Ctrl+F and search for </w:t>
      </w:r>
      <w:r>
        <w:rPr>
          <w:rFonts w:ascii="Consolas" w:hAnsi="Consolas"/>
          <w:sz w:val="19"/>
        </w:rPr>
        <w:t>Member subscriptions</w:t>
      </w:r>
      <w:r>
        <w:t>. In this snapshot it appears at line 49.</w:t>
      </w:r>
    </w:p>
    <w:p>
      <w:pPr/>
      <w:r>
        <w:t>3. Change the accessible table caption text only. Open the Members list and inspect its caption in browser accessibility tools. Leave tab names, routes and status values unchanged.</w:t>
      </w:r>
    </w:p>
    <w:p>
      <w:pPr/>
      <w:r>
        <w:t xml:space="preserve">4. Replace only </w:t>
      </w:r>
      <w:r>
        <w:rPr>
          <w:rFonts w:ascii="Consolas" w:hAnsi="Consolas"/>
          <w:sz w:val="19"/>
        </w:rPr>
        <w:t>Member subscriptions</w:t>
      </w:r>
      <w:r>
        <w:t xml:space="preserve"> with </w:t>
      </w:r>
      <w:r>
        <w:rPr>
          <w:rFonts w:ascii="Consolas" w:hAnsi="Consolas"/>
          <w:sz w:val="19"/>
        </w:rPr>
        <w:t>Membership subscriptions</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49. A fragment from a long line is shown without the rest of that line.</w:t>
      </w:r>
    </w:p>
    <w:p>
      <w:pPr>
        <w:pStyle w:val="GuideCode"/>
        <w:keepNext w:val="0"/>
      </w:pPr>
      <w:r>
        <w:t>0049  t-sm"&gt;&lt;caption className="sr-only"&gt;Member subscriptions&lt;/caption&gt;&lt;thead&gt;&lt;tr&gt;&lt;th className="p-3"&gt;&lt;inp</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A stored membership term is not proof of collected payment. Versions guard against conflicting edits. Do not run cancellation or renewal on an active real member as a learning exercise.</w:t>
      </w:r>
    </w:p>
    <w:p>
      <w:pPr>
        <w:pStyle w:val="Heading2"/>
      </w:pPr>
      <w:r>
        <w:t>Continue learning</w:t>
      </w:r>
    </w:p>
    <w:p>
      <w:pPr/>
      <w:r>
        <w:t xml:space="preserve">Related guides </w:t>
      </w:r>
      <w:hyperlink w:anchor="guide_10">
        <w:r>
          <w:rPr>
            <w:color w:val="263D55"/>
          </w:rPr>
          <w:t>10 Nexora membership applications and decisions</w:t>
        </w:r>
      </w:hyperlink>
      <w:r>
        <w:t xml:space="preserve">, </w:t>
      </w:r>
      <w:hyperlink w:anchor="guide_11">
        <w:r>
          <w:rPr>
            <w:color w:val="263D55"/>
          </w:rPr>
          <w:t>11 Nexora membership setup and products</w:t>
        </w:r>
      </w:hyperlink>
      <w:r>
        <w:t xml:space="preserve">, </w:t>
      </w:r>
      <w:hyperlink w:anchor="guide_15">
        <w:r>
          <w:rPr>
            <w:color w:val="263D55"/>
          </w:rPr>
          <w:t>15 Nexora sales and finance</w:t>
        </w:r>
      </w:hyperlink>
      <w:r>
        <w:t xml:space="preserve">, </w:t>
      </w:r>
      <w:hyperlink w:anchor="guide_25">
        <w:r>
          <w:rPr>
            <w:color w:val="263D55"/>
          </w:rPr>
          <w:t>25 Nexora member portal journeys</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membership/membership-workspace.tsx" TargetMode="External"/><Relationship Id="rId12" Type="http://schemas.openxmlformats.org/officeDocument/2006/relationships/hyperlink" Target="D:/Projects new/Nexora/backend/src/Modules/Nexora.Modules.Membership/MembershipModule.cs" TargetMode="External"/><Relationship Id="rId13" Type="http://schemas.openxmlformats.org/officeDocument/2006/relationships/hyperlink" Target="D:/Projects new/Nexora/backend/src/Modules/Nexora.Modules.Membership/Domain/MembershipEntitie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member records and subscriptions</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