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membership setup and products</w:t>
      </w:r>
    </w:p>
    <w:p>
      <w:pPr>
        <w:keepNext/>
        <w:spacing w:after="40"/>
      </w:pPr>
      <w:r>
        <w:t>Document 11 of the Nexora learning guides</w:t>
      </w:r>
    </w:p>
    <w:p>
      <w:pPr/>
      <w:r>
        <w:t>Source snapshot 14 October 2026 at 06:41 UTC</w:t>
      </w:r>
    </w:p>
    <w:p>
      <w:pPr/>
      <w:r>
        <w:t>Understand lookup values, membership products, prices and portal product settings.</w:t>
      </w:r>
    </w:p>
    <w:p>
      <w:pPr>
        <w:pStyle w:val="Heading2"/>
      </w:pPr>
      <w:r>
        <w:t>Recognise the screen and its scope</w:t>
      </w:r>
    </w:p>
    <w:p>
      <w:pPr/>
      <w:r>
        <w:t xml:space="preserve">Open </w:t>
      </w:r>
      <w:r>
        <w:rPr>
          <w:rFonts w:ascii="Consolas" w:hAnsi="Consolas"/>
          <w:sz w:val="19"/>
        </w:rPr>
        <w:t>/membership/setup</w:t>
      </w:r>
      <w:r>
        <w:t xml:space="preserve">, </w:t>
      </w:r>
      <w:r>
        <w:rPr>
          <w:rFonts w:ascii="Consolas" w:hAnsi="Consolas"/>
          <w:sz w:val="19"/>
        </w:rPr>
        <w:t>/membership/setup/[kind]</w:t>
      </w:r>
      <w:r>
        <w:t>. CRM routes use port 3017; member routes use 3018; public website routes can use 3019. Brackets name a route parameter, not text to paste into a browser. Choose a real record or site id from the application.</w:t>
      </w:r>
    </w:p>
    <w:p>
      <w:pPr/>
      <w:r>
        <w:t>This guide covers Member Type; Member Category; Member Subscription Band; Member Rate Type; Member Rate; Member Status; Member Application Status; Membership products and portal eligibility settings.</w:t>
      </w:r>
    </w:p>
    <w:p>
      <w:pPr>
        <w:keepNext/>
        <w:jc w:val="center"/>
      </w:pPr>
      <w:r>
        <w:drawing>
          <wp:inline xmlns:a="http://schemas.openxmlformats.org/drawingml/2006/main" xmlns:pic="http://schemas.openxmlformats.org/drawingml/2006/picture">
            <wp:extent cx="6355080" cy="3301340"/>
            <wp:docPr id="1" name="Picture 1" descr="File journey for Nexora membership setup and products"/>
            <wp:cNvGraphicFramePr>
              <a:graphicFrameLocks noChangeAspect="1"/>
            </wp:cNvGraphicFramePr>
            <a:graphic>
              <a:graphicData uri="http://schemas.openxmlformats.org/drawingml/2006/picture">
                <pic:pic>
                  <pic:nvPicPr>
                    <pic:cNvPr id="0" name="guide-11-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S0113 membership-setup.tsx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S0512 MembershipModule.cs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S0418 MembershipEntities.cs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S0113</w:t>
      </w:r>
    </w:p>
    <w:p>
      <w:pPr/>
      <w:hyperlink r:id="rId11">
        <w:r>
          <w:rPr>
            <w:color w:val="263D55"/>
          </w:rPr>
          <w:t>apps/web/src/features/membership/membership-setup.tsx</w:t>
        </w:r>
      </w:hyperlink>
    </w:p>
    <w:p>
      <w:pPr>
        <w:keepNext/>
        <w:spacing w:after="40"/>
      </w:pPr>
      <w:r>
        <w:rPr>
          <w:b/>
        </w:rPr>
        <w:t>Server S0512</w:t>
      </w:r>
    </w:p>
    <w:p>
      <w:pPr/>
      <w:hyperlink r:id="rId12">
        <w:r>
          <w:rPr>
            <w:color w:val="263D55"/>
          </w:rPr>
          <w:t>backend/src/Modules/Nexora.Modules.Membership/MembershipModule.cs</w:t>
        </w:r>
      </w:hyperlink>
    </w:p>
    <w:p>
      <w:pPr>
        <w:keepNext/>
        <w:spacing w:after="40"/>
      </w:pPr>
      <w:r>
        <w:rPr>
          <w:b/>
        </w:rPr>
        <w:t>Data S0418</w:t>
      </w:r>
    </w:p>
    <w:p>
      <w:pPr/>
      <w:hyperlink r:id="rId13">
        <w:r>
          <w:rPr>
            <w:color w:val="263D55"/>
          </w:rPr>
          <w:t>backend/src/Modules/Nexora.Modules.Membership/Domain/MembershipEntities.cs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setup route checks that the kind is in setupKinds.</w:t>
      </w:r>
    </w:p>
    <w:p>
      <w:pPr/>
      <w:r>
        <w:t>2. MembershipSetup loads /setup/{kind}.</w:t>
      </w:r>
    </w:p>
    <w:p>
      <w:pPr/>
      <w:r>
        <w:t>3. Authorised staff add or patch lookup names and descriptions.</w:t>
      </w:r>
    </w:p>
    <w:p>
      <w:pPr/>
      <w:r>
        <w:t>4. Product settings specify term, rate, currency and portal application options.</w:t>
      </w:r>
    </w:p>
    <w:p>
      <w:pPr/>
      <w:r>
        <w:t>5. The server stores these values and validates application requests against the product.</w:t>
      </w:r>
    </w:p>
    <w:p>
      <w:pPr>
        <w:pStyle w:val="Heading2"/>
      </w:pPr>
      <w:r>
        <w:t>Read the code with an explanation</w:t>
      </w:r>
    </w:p>
    <w:p>
      <w:pPr/>
      <w:r>
        <w:t>The seven setup-kind keys are identifiers used by routes and stored records; their labels are the words shown to people. A product connects business settings such as term and rate to an application. Changing a display label differs from changing a key. Existing prices and classifications need a considered migration or business update, not a global text replacement.</w:t>
      </w:r>
    </w:p>
    <w:p>
      <w:pPr>
        <w:pStyle w:val="GuideSmall"/>
        <w:keepNext/>
      </w:pPr>
      <w:r>
        <w:t>Source reference S0113 apps/web/src/features/membership/membership-setup.tsx</w:t>
      </w:r>
    </w:p>
    <w:p>
      <w:pPr/>
      <w:r>
        <w:t>Selected opening lines with their original numbers. The complete file is in the HTML source library.</w:t>
      </w:r>
    </w:p>
    <w:p>
      <w:pPr>
        <w:pStyle w:val="GuideCode"/>
        <w:keepNext/>
      </w:pPr>
      <w:r>
        <w:t>0001  "use client";</w:t>
      </w:r>
    </w:p>
    <w:p>
      <w:pPr>
        <w:pStyle w:val="GuideCode"/>
        <w:keepNext/>
      </w:pPr>
      <w:r>
        <w:t>0002  import { EntityHeading } from "@/components/ui/entity-heading";</w:t>
      </w:r>
    </w:p>
    <w:p>
      <w:pPr>
        <w:pStyle w:val="GuideCode"/>
      </w:pPr>
      <w:r>
        <w:t>0003  import { useEffect, useState } from "react";</w:t>
      </w:r>
    </w:p>
    <w:p>
      <w:pPr>
        <w:pStyle w:val="GuideCode"/>
        <w:keepNext/>
      </w:pPr>
      <w:r>
        <w:t>0004  import { moduleApi } from "../shared/module-api";</w:t>
      </w:r>
    </w:p>
    <w:p>
      <w:pPr>
        <w:pStyle w:val="GuideCode"/>
        <w:keepNext/>
      </w:pPr>
      <w:r>
        <w:t>0005  import { ColumnChooser } from "../shared/column-chooser";</w:t>
      </w:r>
    </w:p>
    <w:p>
      <w:pPr>
        <w:pStyle w:val="GuideCode"/>
        <w:keepNext w:val="0"/>
      </w:pPr>
      <w:r>
        <w:t>0006  import { useEntityListing } from "../shared/entity-listing-controls";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S0512 backend/src/Modules/Nexora.Modules.Membership/MembershipModule.cs</w:t>
      </w:r>
    </w:p>
    <w:p>
      <w:pPr/>
      <w:r>
        <w:t>Extract from source line 54. A fragment from a long line is shown without the rest of that line.</w:t>
      </w:r>
    </w:p>
    <w:p>
      <w:pPr>
        <w:pStyle w:val="GuideCode"/>
        <w:keepNext w:val="0"/>
      </w:pPr>
      <w:r>
        <w:t>0054          api.MapGet("/setup/{kind}", async (string kind, MembershipDbContext db,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S0418 backend/src/Modules/Nexora.Modules.Membership/Domain/MembershipEntities.cs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Nexora.Modules.Membership.Domain;</w:t>
      </w:r>
    </w:p>
    <w:p>
      <w:pPr>
        <w:pStyle w:val="GuideCode"/>
      </w:pPr>
      <w:r>
        <w:t>0003  public sealed class MembershipProduct : TenantEntity</w:t>
      </w:r>
    </w:p>
    <w:p>
      <w:pPr>
        <w:pStyle w:val="GuideCode"/>
        <w:keepNext/>
      </w:pPr>
      <w:r>
        <w:t>0004  {</w:t>
      </w:r>
    </w:p>
    <w:p>
      <w:pPr>
        <w:pStyle w:val="GuideCode"/>
        <w:keepNext/>
      </w:pPr>
      <w:r>
        <w:t>0005      public string Name { get; set; } = "";</w:t>
      </w:r>
    </w:p>
    <w:p>
      <w:pPr>
        <w:pStyle w:val="GuideCode"/>
        <w:keepNext w:val="0"/>
      </w:pPr>
      <w:r>
        <w:t>0006      public string Category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apps/web/src/features/membership/membership-setup.tsx</w:t>
        </w:r>
      </w:hyperlink>
      <w:r>
        <w:t>.</w:t>
      </w:r>
    </w:p>
    <w:p>
      <w:pPr/>
      <w:r>
        <w:t xml:space="preserve">2. Press Ctrl+F and search for </w:t>
      </w:r>
      <w:r>
        <w:rPr>
          <w:rFonts w:ascii="Consolas" w:hAnsi="Consolas"/>
          <w:sz w:val="19"/>
        </w:rPr>
        <w:t>Lookup values</w:t>
      </w:r>
      <w:r>
        <w:t>. In this snapshot it appears at line 20.</w:t>
      </w:r>
    </w:p>
    <w:p>
      <w:pPr/>
      <w:r>
        <w:t>3. Replace the Panel title only. Open one setup list and confirm its stored names still load. Do not change the kind passed to /setup.</w:t>
      </w:r>
    </w:p>
    <w:p>
      <w:pPr/>
      <w:r>
        <w:t xml:space="preserve">4. Replace only </w:t>
      </w:r>
      <w:r>
        <w:rPr>
          <w:rFonts w:ascii="Consolas" w:hAnsi="Consolas"/>
          <w:sz w:val="19"/>
        </w:rPr>
        <w:t>Lookup values</w:t>
      </w:r>
      <w:r>
        <w:t xml:space="preserve"> with </w:t>
      </w:r>
      <w:r>
        <w:rPr>
          <w:rFonts w:ascii="Consolas" w:hAnsi="Consolas"/>
          <w:sz w:val="19"/>
        </w:rPr>
        <w:t>Setup values</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20. A fragment from a long line is shown without the rest of that line.</w:t>
      </w:r>
    </w:p>
    <w:p>
      <w:pPr>
        <w:pStyle w:val="GuideCode"/>
        <w:keepNext w:val="0"/>
      </w:pPr>
      <w:r>
        <w:t>0020   &lt;Panel title="Lookup values"&gt;{listing.toolbar}{loading ? &lt;p role="status</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Lookup edits need configuration permission. A product rate is a stored quote or arrangement; no card processor is connected by changing it. Product portal options determine which applications are offered.</w:t>
      </w:r>
    </w:p>
    <w:p>
      <w:pPr>
        <w:pStyle w:val="Heading2"/>
      </w:pPr>
      <w:r>
        <w:t>Continue learning</w:t>
      </w:r>
    </w:p>
    <w:p>
      <w:pPr/>
      <w:r>
        <w:t xml:space="preserve">Related guides </w:t>
      </w:r>
      <w:hyperlink w:anchor="guide_09">
        <w:r>
          <w:rPr>
            <w:color w:val="263D55"/>
          </w:rPr>
          <w:t>09 Nexora member records and subscriptions</w:t>
        </w:r>
      </w:hyperlink>
      <w:r>
        <w:t xml:space="preserve">, </w:t>
      </w:r>
      <w:hyperlink w:anchor="guide_10">
        <w:r>
          <w:rPr>
            <w:color w:val="263D55"/>
          </w:rPr>
          <w:t>10 Nexora membership applications and decisions</w:t>
        </w:r>
      </w:hyperlink>
      <w:r>
        <w:t xml:space="preserve">, </w:t>
      </w:r>
      <w:hyperlink w:anchor="guide_15">
        <w:r>
          <w:rPr>
            <w:color w:val="263D55"/>
          </w:rPr>
          <w:t>15 Nexora sales and finance</w:t>
        </w:r>
      </w:hyperlink>
      <w:r>
        <w:t xml:space="preserve">, </w:t>
      </w:r>
      <w:hyperlink w:anchor="guide_21">
        <w:r>
          <w:rPr>
            <w:color w:val="263D55"/>
          </w:rPr>
          <w:t>21 Nexora automation controllers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membership/membership-setup.tsx" TargetMode="External"/><Relationship Id="rId12" Type="http://schemas.openxmlformats.org/officeDocument/2006/relationships/hyperlink" Target="D:/Projects new/Nexora/backend/src/Modules/Nexora.Modules.Membership/MembershipModule.cs" TargetMode="External"/><Relationship Id="rId13" Type="http://schemas.openxmlformats.org/officeDocument/2006/relationships/hyperlink" Target="D:/Projects new/Nexora/backend/src/Modules/Nexora.Modules.Membership/Domain/Membership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membership setup and products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