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events and bookings</w:t>
      </w:r>
    </w:p>
    <w:p>
      <w:pPr>
        <w:keepNext/>
        <w:spacing w:after="40"/>
      </w:pPr>
      <w:r>
        <w:t>Document 12 of the Nexora learning guides</w:t>
      </w:r>
    </w:p>
    <w:p>
      <w:pPr/>
      <w:r>
        <w:t>Source snapshot 14 October 2026 at 06:41 UTC</w:t>
      </w:r>
    </w:p>
    <w:p>
      <w:pPr/>
      <w:r>
        <w:t>Understand event offerings, sessions, capacity, registrations and attendance.</w:t>
      </w:r>
    </w:p>
    <w:p>
      <w:pPr>
        <w:pStyle w:val="Heading2"/>
      </w:pPr>
      <w:r>
        <w:t>Recognise the screen and its scope</w:t>
      </w:r>
    </w:p>
    <w:p>
      <w:pPr/>
      <w:r>
        <w:t xml:space="preserve">Open </w:t>
      </w:r>
      <w:r>
        <w:rPr>
          <w:rFonts w:ascii="Consolas" w:hAnsi="Consolas"/>
          <w:sz w:val="19"/>
        </w:rPr>
        <w:t>/events/events</w:t>
      </w:r>
      <w:r>
        <w:t xml:space="preserve">, </w:t>
      </w:r>
      <w:r>
        <w:rPr>
          <w:rFonts w:ascii="Consolas" w:hAnsi="Consolas"/>
          <w:sz w:val="19"/>
        </w:rPr>
        <w:t>/events/events/[id]</w:t>
      </w:r>
      <w:r>
        <w:t>. CRM routes use port 3017; member routes use 3018; public website routes can use 3019. Brackets name a route parameter, not text to paste into a browser. Choose a real record or site id from the application.</w:t>
      </w:r>
    </w:p>
    <w:p>
      <w:pPr/>
      <w:r>
        <w:t>This guide covers Event creation; Venue and dates; Sessions; Contact bookings and waitlists; Attendance transfer promotion and cancellation; Activity history.</w:t>
      </w:r>
    </w:p>
    <w:p>
      <w:pPr>
        <w:keepNext/>
        <w:jc w:val="center"/>
      </w:pPr>
      <w:r>
        <w:drawing>
          <wp:inline xmlns:a="http://schemas.openxmlformats.org/drawingml/2006/main" xmlns:pic="http://schemas.openxmlformats.org/drawingml/2006/picture">
            <wp:extent cx="6355080" cy="3301340"/>
            <wp:docPr id="1" name="Picture 1" descr="File journey for Nexora events and bookings"/>
            <wp:cNvGraphicFramePr>
              <a:graphicFrameLocks noChangeAspect="1"/>
            </wp:cNvGraphicFramePr>
            <a:graphic>
              <a:graphicData uri="http://schemas.openxmlformats.org/drawingml/2006/picture">
                <pic:pic>
                  <pic:nvPicPr>
                    <pic:cNvPr id="0" name="guide-12-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S0329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S0328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11">
        <w:r>
          <w:rPr>
            <w:color w:val="263D55"/>
          </w:rPr>
          <w:t>apps/web/src/features/events/events-workspace.tsx</w:t>
        </w:r>
      </w:hyperlink>
    </w:p>
    <w:p>
      <w:pPr>
        <w:keepNext/>
        <w:spacing w:after="40"/>
      </w:pPr>
      <w:r>
        <w:rPr>
          <w:b/>
        </w:rPr>
        <w:t>Server S0329</w:t>
      </w:r>
    </w:p>
    <w:p>
      <w:pPr/>
      <w:hyperlink r:id="rId12">
        <w:r>
          <w:rPr>
            <w:color w:val="263D55"/>
          </w:rPr>
          <w:t>backend/src/Modules/Nexora.Modules.Events/EventsModule.cs</w:t>
        </w:r>
      </w:hyperlink>
    </w:p>
    <w:p>
      <w:pPr>
        <w:keepNext/>
        <w:spacing w:after="40"/>
      </w:pPr>
      <w:r>
        <w:rPr>
          <w:b/>
        </w:rPr>
        <w:t>Data S0328</w:t>
      </w:r>
    </w:p>
    <w:p>
      <w:pPr/>
      <w:hyperlink r:id="rId13">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events route sets offeringKind to event.</w:t>
      </w:r>
    </w:p>
    <w:p>
      <w:pPr/>
      <w:r>
        <w:t>2. The workspace lists /api/v1/events/offerings.</w:t>
      </w:r>
    </w:p>
    <w:p>
      <w:pPr/>
      <w:r>
        <w:t>3. A create form supplies dates, venue and capacity.</w:t>
      </w:r>
    </w:p>
    <w:p>
      <w:pPr/>
      <w:r>
        <w:t>4. Selecting a Contact creates an enrollment or waitlist entry.</w:t>
      </w:r>
    </w:p>
    <w:p>
      <w:pPr/>
      <w:r>
        <w:t>5. The backend validates dates, capacity and permitted booking transitions.</w:t>
      </w:r>
    </w:p>
    <w:p>
      <w:pPr>
        <w:pStyle w:val="Heading2"/>
      </w:pPr>
      <w:r>
        <w:t>Read the code with an explanation</w:t>
      </w:r>
    </w:p>
    <w:p>
      <w:pPr/>
      <w:r>
        <w:t>Events, courses and exams share Offering and Enrollment structures. The kind selects which behaviour and wording apply. Dates entered by the browser are converted to UTC for requests. An enrollment is the participant's booking; an Offering is the thing they attend. Server capacity checks remain necessary when several people book at once.</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S0329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S0328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apps/web/src/features/events/events-workspace.tsx</w:t>
        </w:r>
      </w:hyperlink>
      <w:r>
        <w:t>.</w:t>
      </w:r>
    </w:p>
    <w:p>
      <w:pPr/>
      <w:r>
        <w:t xml:space="preserve">2. Press Ctrl+F and search for </w:t>
      </w:r>
      <w:r>
        <w:rPr>
          <w:rFonts w:ascii="Consolas" w:hAnsi="Consolas"/>
          <w:sz w:val="19"/>
        </w:rPr>
        <w:t>Venue or online location</w:t>
      </w:r>
      <w:r>
        <w:t>. In this snapshot it appears at line 28.</w:t>
      </w:r>
    </w:p>
    <w:p>
      <w:pPr/>
      <w:r>
        <w:t>3. Replace only this form label. Open the event create form and verify dates and capacity remain present. Because the component is shared, also inspect a course form.</w:t>
      </w:r>
    </w:p>
    <w:p>
      <w:pPr/>
      <w:r>
        <w:t xml:space="preserve">4. Replace only </w:t>
      </w:r>
      <w:r>
        <w:rPr>
          <w:rFonts w:ascii="Consolas" w:hAnsi="Consolas"/>
          <w:sz w:val="19"/>
        </w:rPr>
        <w:t>Venue or online location</w:t>
      </w:r>
      <w:r>
        <w:t xml:space="preserve"> with </w:t>
      </w:r>
      <w:r>
        <w:rPr>
          <w:rFonts w:ascii="Consolas" w:hAnsi="Consolas"/>
          <w:sz w:val="19"/>
        </w:rPr>
        <w:t>Venue or meeting link</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28. A fragment from a long line is shown without the rest of that line.</w:t>
      </w:r>
    </w:p>
    <w:p>
      <w:pPr>
        <w:pStyle w:val="GuideCode"/>
        <w:keepNext w:val="0"/>
      </w:pPr>
      <w:r>
        <w:t>0028  n&gt;)}&lt;/select&gt;&lt;/Field&gt;&lt;Field label="Venue or online location"&gt;&lt;input className={input} name="venue" maxLe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Stored registrations are not ticket-payment integration. Cancellation and transfer alter real attendance records; only use approved test data for business actions.</w:t>
      </w:r>
    </w:p>
    <w:p>
      <w:pPr>
        <w:pStyle w:val="Heading2"/>
      </w:pPr>
      <w:r>
        <w:t>Continue learning</w:t>
      </w:r>
    </w:p>
    <w:p>
      <w:pPr/>
      <w:r>
        <w:t xml:space="preserve">Related guides </w:t>
      </w:r>
      <w:hyperlink w:anchor="guide_13">
        <w:r>
          <w:rPr>
            <w:color w:val="263D55"/>
          </w:rPr>
          <w:t>13 Nexora courses and training</w:t>
        </w:r>
      </w:hyperlink>
      <w:r>
        <w:t xml:space="preserve">, </w:t>
      </w:r>
      <w:hyperlink w:anchor="guide_14">
        <w:r>
          <w:rPr>
            <w:color w:val="263D55"/>
          </w:rPr>
          <w:t>14 Nexora examinations and results</w:t>
        </w:r>
      </w:hyperlink>
      <w:r>
        <w:t xml:space="preserve">, </w:t>
      </w:r>
      <w:hyperlink w:anchor="guide_15">
        <w:r>
          <w:rPr>
            <w:color w:val="263D55"/>
          </w:rPr>
          <w:t>15 Nexora sales and finance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events/events-workspace.tsx" TargetMode="External"/><Relationship Id="rId12" Type="http://schemas.openxmlformats.org/officeDocument/2006/relationships/hyperlink" Target="D:/Projects new/Nexora/backend/src/Modules/Nexora.Modules.Events/EventsModule.cs" TargetMode="External"/><Relationship Id="rId13" Type="http://schemas.openxmlformats.org/officeDocument/2006/relationships/hyperlink" Target="D:/Projects new/Nexora/backend/src/Modules/Nexora.Modules.Events/Domain/Ev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events and bookings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