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examinations and results</w:t>
      </w:r>
    </w:p>
    <w:p>
      <w:pPr>
        <w:keepNext/>
        <w:spacing w:after="40"/>
      </w:pPr>
      <w:r>
        <w:t>Document 14 of the Nexora learning guides</w:t>
      </w:r>
    </w:p>
    <w:p>
      <w:pPr/>
      <w:r>
        <w:t>Source snapshot 14 October 2026 at 06:41 UTC</w:t>
      </w:r>
    </w:p>
    <w:p>
      <w:pPr/>
      <w:r>
        <w:t>Understand examination offerings, attendance, score publication and pass or fail outcomes.</w:t>
      </w:r>
    </w:p>
    <w:p>
      <w:pPr>
        <w:pStyle w:val="Heading2"/>
      </w:pPr>
      <w:r>
        <w:t>Recognise the screen and its scope</w:t>
      </w:r>
    </w:p>
    <w:p>
      <w:pPr/>
      <w:r>
        <w:t xml:space="preserve">Open </w:t>
      </w:r>
      <w:r>
        <w:rPr>
          <w:rFonts w:ascii="Consolas" w:hAnsi="Consolas"/>
          <w:sz w:val="19"/>
        </w:rPr>
        <w:t>/events/exams</w:t>
      </w:r>
      <w:r>
        <w:t xml:space="preserve">, </w:t>
      </w:r>
      <w:r>
        <w:rPr>
          <w:rFonts w:ascii="Consolas" w:hAnsi="Consolas"/>
          <w:sz w:val="19"/>
        </w:rPr>
        <w:t>/events/exams/[id]</w:t>
      </w:r>
      <w:r>
        <w:t>. CRM routes use port 3017; member routes use 3018; public website routes can use 3019. Brackets name a route parameter, not text to paste into a browser. Choose a real record or site id from the application.</w:t>
      </w:r>
    </w:p>
    <w:p>
      <w:pPr/>
      <w:r>
        <w:t>This guide covers Exam offering and passing score; Candidate enrollments; Attendance prerequisite; Result score and outcome; Exam-results permission.</w:t>
      </w:r>
    </w:p>
    <w:p>
      <w:pPr>
        <w:keepNext/>
        <w:jc w:val="center"/>
      </w:pPr>
      <w:r>
        <w:drawing>
          <wp:inline xmlns:a="http://schemas.openxmlformats.org/drawingml/2006/main" xmlns:pic="http://schemas.openxmlformats.org/drawingml/2006/picture">
            <wp:extent cx="6355080" cy="3301340"/>
            <wp:docPr id="1" name="Picture 1" descr="File journey for Nexora examinations and results"/>
            <wp:cNvGraphicFramePr>
              <a:graphicFrameLocks noChangeAspect="1"/>
            </wp:cNvGraphicFramePr>
            <a:graphic>
              <a:graphicData uri="http://schemas.openxmlformats.org/drawingml/2006/picture">
                <pic:pic>
                  <pic:nvPicPr>
                    <pic:cNvPr id="0" name="guide-14-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S0097 events-workspace.tsx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S0329 EventsModule.cs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S0328 EventEntities.cs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S0097</w:t>
      </w:r>
    </w:p>
    <w:p>
      <w:pPr/>
      <w:hyperlink r:id="rId11">
        <w:r>
          <w:rPr>
            <w:color w:val="263D55"/>
          </w:rPr>
          <w:t>apps/web/src/features/events/events-workspace.tsx</w:t>
        </w:r>
      </w:hyperlink>
    </w:p>
    <w:p>
      <w:pPr>
        <w:keepNext/>
        <w:spacing w:after="40"/>
      </w:pPr>
      <w:r>
        <w:rPr>
          <w:b/>
        </w:rPr>
        <w:t>Server S0329</w:t>
      </w:r>
    </w:p>
    <w:p>
      <w:pPr/>
      <w:hyperlink r:id="rId12">
        <w:r>
          <w:rPr>
            <w:color w:val="263D55"/>
          </w:rPr>
          <w:t>backend/src/Modules/Nexora.Modules.Events/EventsModule.cs</w:t>
        </w:r>
      </w:hyperlink>
    </w:p>
    <w:p>
      <w:pPr>
        <w:keepNext/>
        <w:spacing w:after="40"/>
      </w:pPr>
      <w:r>
        <w:rPr>
          <w:b/>
        </w:rPr>
        <w:t>Data S0328</w:t>
      </w:r>
    </w:p>
    <w:p>
      <w:pPr/>
      <w:hyperlink r:id="rId13">
        <w:r>
          <w:rPr>
            <w:color w:val="263D55"/>
          </w:rPr>
          <w:t>backend/src/Modules/Nexora.Modules.Events/Domain/EventEntities.cs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exam route selects exam as the offering kind.</w:t>
      </w:r>
    </w:p>
    <w:p>
      <w:pPr/>
      <w:r>
        <w:t>2. An enrollment links the candidate Contact to the exam.</w:t>
      </w:r>
    </w:p>
    <w:p>
      <w:pPr/>
      <w:r>
        <w:t>3. Attendance is recorded before a result can be published.</w:t>
      </w:r>
    </w:p>
    <w:p>
      <w:pPr/>
      <w:r>
        <w:t>4. An authorised results request sends score and expected version.</w:t>
      </w:r>
    </w:p>
    <w:p>
      <w:pPr/>
      <w:r>
        <w:t>5. Server validation stores the result and calculates its outcome.</w:t>
      </w:r>
    </w:p>
    <w:p>
      <w:pPr>
        <w:pStyle w:val="Heading2"/>
      </w:pPr>
      <w:r>
        <w:t>Read the code with an explanation</w:t>
      </w:r>
    </w:p>
    <w:p>
      <w:pPr/>
      <w:r>
        <w:t>The results permission is separate from general event management. The screen only shows the score form for an attended exam enrollment without an existing result. Those browser conditions help usability, while the C# endpoint checks the rules again. Changing the displayed word Score does not change the passing-score calculation.</w:t>
      </w:r>
    </w:p>
    <w:p>
      <w:pPr>
        <w:pStyle w:val="GuideSmall"/>
        <w:keepNext/>
      </w:pPr>
      <w:r>
        <w:t>Source reference S0097 apps/web/src/features/events/events-workspace.tsx</w:t>
      </w:r>
    </w:p>
    <w:p>
      <w:pPr/>
      <w:r>
        <w:t>Selected opening lines with their original numbers. The complete file is in the HTML source library.</w:t>
      </w:r>
    </w:p>
    <w:p>
      <w:pPr>
        <w:pStyle w:val="GuideCode"/>
        <w:keepNext/>
      </w:pPr>
      <w:r>
        <w:t>0001  "use client";</w:t>
      </w:r>
    </w:p>
    <w:p>
      <w:pPr>
        <w:pStyle w:val="GuideCode"/>
        <w:keepNext/>
      </w:pPr>
      <w:r>
        <w:t>0002  import { RecordListing } from "../shared/record-listing";</w:t>
      </w:r>
    </w:p>
    <w:p>
      <w:pPr>
        <w:pStyle w:val="GuideCode"/>
      </w:pPr>
      <w:r>
        <w:t>0003  import listingStyles from "../crm/record-listing.module.css";</w:t>
      </w:r>
    </w:p>
    <w:p>
      <w:pPr>
        <w:pStyle w:val="GuideCode"/>
        <w:keepNext/>
      </w:pPr>
      <w:r>
        <w:t>0004  import { WorkspaceHeading } from "@/components/ui/workspace-heading";</w:t>
      </w:r>
    </w:p>
    <w:p>
      <w:pPr>
        <w:pStyle w:val="GuideCode"/>
        <w:keepNext/>
      </w:pPr>
      <w:r>
        <w:t>0005  import { useRouter } from "next/navigation";</w:t>
      </w:r>
    </w:p>
    <w:p>
      <w:pPr>
        <w:pStyle w:val="GuideCode"/>
        <w:keepNext w:val="0"/>
      </w:pPr>
      <w:r>
        <w:t>0006  import type { Route } from "next";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S0329 backend/src/Modules/Nexora.Modules.Events/EventsModule.cs</w:t>
      </w:r>
    </w:p>
    <w:p>
      <w:pPr/>
      <w:r>
        <w:t>Extract from source line 27. A fragment from a long line is shown without the rest of that line.</w:t>
      </w:r>
    </w:p>
    <w:p>
      <w:pPr>
        <w:pStyle w:val="GuideCode"/>
        <w:keepNext w:val="0"/>
      </w:pPr>
      <w:r>
        <w:t>0027          api.MapGet("/contacts",(string?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S0328 backend/src/Modules/Nexora.Modules.Events/Domain/EventEntities.cs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Nexora.Modules.Events.Domain;</w:t>
      </w:r>
    </w:p>
    <w:p>
      <w:pPr>
        <w:pStyle w:val="GuideCode"/>
      </w:pPr>
      <w:r>
        <w:t>0003  public sealed class Offering : TenantEntity</w:t>
      </w:r>
    </w:p>
    <w:p>
      <w:pPr>
        <w:pStyle w:val="GuideCode"/>
        <w:keepNext/>
      </w:pPr>
      <w:r>
        <w:t>0004  {</w:t>
      </w:r>
    </w:p>
    <w:p>
      <w:pPr>
        <w:pStyle w:val="GuideCode"/>
        <w:keepNext/>
      </w:pPr>
      <w:r>
        <w:t>0005      public string Kind { get; set; } = "event";</w:t>
      </w:r>
    </w:p>
    <w:p>
      <w:pPr>
        <w:pStyle w:val="GuideCode"/>
        <w:keepNext w:val="0"/>
      </w:pPr>
      <w:r>
        <w:t>0006      public string Name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apps/web/src/features/events/events-workspace.tsx</w:t>
        </w:r>
      </w:hyperlink>
      <w:r>
        <w:t>.</w:t>
      </w:r>
    </w:p>
    <w:p>
      <w:pPr/>
      <w:r>
        <w:t xml:space="preserve">2. Press Ctrl+F and search for </w:t>
      </w:r>
      <w:r>
        <w:rPr>
          <w:rFonts w:ascii="Consolas" w:hAnsi="Consolas"/>
          <w:sz w:val="19"/>
        </w:rPr>
        <w:t>Exam score</w:t>
      </w:r>
      <w:r>
        <w:t>. In this snapshot it appears at line 31.</w:t>
      </w:r>
    </w:p>
    <w:p>
      <w:pPr/>
      <w:r>
        <w:t>3. Replace only the result field label. Inspect the exam result form using an authorised test enrollment. Do not publish or alter a real result while practising.</w:t>
      </w:r>
    </w:p>
    <w:p>
      <w:pPr/>
      <w:r>
        <w:t xml:space="preserve">4. Replace only </w:t>
      </w:r>
      <w:r>
        <w:rPr>
          <w:rFonts w:ascii="Consolas" w:hAnsi="Consolas"/>
          <w:sz w:val="19"/>
        </w:rPr>
        <w:t>Exam score</w:t>
      </w:r>
      <w:r>
        <w:t xml:space="preserve"> with </w:t>
      </w:r>
      <w:r>
        <w:rPr>
          <w:rFonts w:ascii="Consolas" w:hAnsi="Consolas"/>
          <w:sz w:val="19"/>
        </w:rPr>
        <w:t>Candidate score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31. A fragment from a long line is shown without the rest of that line.</w:t>
      </w:r>
    </w:p>
    <w:p>
      <w:pPr>
        <w:pStyle w:val="GuideCode"/>
        <w:keepNext w:val="0"/>
      </w:pPr>
      <w:r>
        <w:t>0031  l.offering.id);});}}&gt;&lt;Field label="Exam score"&gt;&lt;input className={input} name="score" type=</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current module stores exam outcomes; it does not establish a live proctoring service, external examination-board integration or automatic certificate distribution.</w:t>
      </w:r>
    </w:p>
    <w:p>
      <w:pPr>
        <w:pStyle w:val="Heading2"/>
      </w:pPr>
      <w:r>
        <w:t>Continue learning</w:t>
      </w:r>
    </w:p>
    <w:p>
      <w:pPr/>
      <w:r>
        <w:t xml:space="preserve">Related guides </w:t>
      </w:r>
      <w:hyperlink w:anchor="guide_12">
        <w:r>
          <w:rPr>
            <w:color w:val="263D55"/>
          </w:rPr>
          <w:t>12 Nexora events and bookings</w:t>
        </w:r>
      </w:hyperlink>
      <w:r>
        <w:t xml:space="preserve">, </w:t>
      </w:r>
      <w:hyperlink w:anchor="guide_13">
        <w:r>
          <w:rPr>
            <w:color w:val="263D55"/>
          </w:rPr>
          <w:t>13 Nexora courses and training</w:t>
        </w:r>
      </w:hyperlink>
      <w:r>
        <w:t xml:space="preserve">, </w:t>
      </w:r>
      <w:hyperlink w:anchor="guide_20">
        <w:r>
          <w:rPr>
            <w:color w:val="263D55"/>
          </w:rPr>
          <w:t>20 Nexora administration and access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events/events-workspace.tsx" TargetMode="External"/><Relationship Id="rId12" Type="http://schemas.openxmlformats.org/officeDocument/2006/relationships/hyperlink" Target="D:/Projects new/Nexora/backend/src/Modules/Nexora.Modules.Events/EventsModule.cs" TargetMode="External"/><Relationship Id="rId13" Type="http://schemas.openxmlformats.org/officeDocument/2006/relationships/hyperlink" Target="D:/Projects new/Nexora/backend/src/Modules/Nexora.Modules.Events/Domain/Event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examinations and results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