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sales and finance</w:t>
      </w:r>
    </w:p>
    <w:p>
      <w:pPr>
        <w:keepNext/>
        <w:spacing w:after="40"/>
      </w:pPr>
      <w:r>
        <w:t>Document 15 of the Nexora learning guides</w:t>
      </w:r>
    </w:p>
    <w:p>
      <w:pPr/>
      <w:r>
        <w:t>Source snapshot 14 October 2026 at 06:41 UTC</w:t>
      </w:r>
    </w:p>
    <w:p>
      <w:pPr/>
      <w:r>
        <w:t>Understand catalogue products, orders, invoices, receipts, allocations and reconciliation.</w:t>
      </w:r>
    </w:p>
    <w:p>
      <w:pPr>
        <w:pStyle w:val="Heading2"/>
      </w:pPr>
      <w:r>
        <w:t>Recognise the screen and its scope</w:t>
      </w:r>
    </w:p>
    <w:p>
      <w:pPr/>
      <w:r>
        <w:t xml:space="preserve">Open </w:t>
      </w:r>
      <w:r>
        <w:rPr>
          <w:rFonts w:ascii="Consolas" w:hAnsi="Consolas"/>
          <w:sz w:val="19"/>
        </w:rPr>
        <w:t>/finance/catalogue</w:t>
      </w:r>
      <w:r>
        <w:t xml:space="preserve">, </w:t>
      </w:r>
      <w:r>
        <w:rPr>
          <w:rFonts w:ascii="Consolas" w:hAnsi="Consolas"/>
          <w:sz w:val="19"/>
        </w:rPr>
        <w:t>/finance/orders</w:t>
      </w:r>
      <w:r>
        <w:t xml:space="preserve">, </w:t>
      </w:r>
      <w:r>
        <w:rPr>
          <w:rFonts w:ascii="Consolas" w:hAnsi="Consolas"/>
          <w:sz w:val="19"/>
        </w:rPr>
        <w:t>/finance/invoices</w:t>
      </w:r>
      <w:r>
        <w:t xml:space="preserve">, </w:t>
      </w:r>
      <w:r>
        <w:rPr>
          <w:rFonts w:ascii="Consolas" w:hAnsi="Consolas"/>
          <w:sz w:val="19"/>
        </w:rPr>
        <w:t>/finance/receipts</w:t>
      </w:r>
      <w:r>
        <w:t>. CRM routes use port 3017; member routes use 3018; public website routes can use 3019. Brackets name a route parameter, not text to paste into a browser. Choose a real record or site id from the application.</w:t>
      </w:r>
    </w:p>
    <w:p>
      <w:pPr/>
      <w:r>
        <w:t>This guide covers Catalogue and currencies; Order lines and posting; Invoices and credits; Receipts and refunds; Allocations and reversals; Reconciliation export and history.</w:t>
      </w:r>
    </w:p>
    <w:p>
      <w:pPr>
        <w:keepNext/>
        <w:jc w:val="center"/>
      </w:pPr>
      <w:r>
        <w:drawing>
          <wp:inline xmlns:a="http://schemas.openxmlformats.org/drawingml/2006/main" xmlns:pic="http://schemas.openxmlformats.org/drawingml/2006/picture">
            <wp:extent cx="6355080" cy="3301340"/>
            <wp:docPr id="1" name="Picture 1" descr="File journey for Nexora sales and finance"/>
            <wp:cNvGraphicFramePr>
              <a:graphicFrameLocks noChangeAspect="1"/>
            </wp:cNvGraphicFramePr>
            <a:graphic>
              <a:graphicData uri="http://schemas.openxmlformats.org/drawingml/2006/picture">
                <pic:pic>
                  <pic:nvPicPr>
                    <pic:cNvPr id="0" name="guide-15-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S0098 finance-workspace.tsx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S0349 FinanceModule.cs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S0348 FinanceEntities.cs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S0098</w:t>
      </w:r>
    </w:p>
    <w:p>
      <w:pPr/>
      <w:hyperlink r:id="rId11">
        <w:r>
          <w:rPr>
            <w:color w:val="263D55"/>
          </w:rPr>
          <w:t>apps/web/src/features/finance/finance-workspace.tsx</w:t>
        </w:r>
      </w:hyperlink>
    </w:p>
    <w:p>
      <w:pPr>
        <w:keepNext/>
        <w:spacing w:after="40"/>
      </w:pPr>
      <w:r>
        <w:rPr>
          <w:b/>
        </w:rPr>
        <w:t>Server S0349</w:t>
      </w:r>
    </w:p>
    <w:p>
      <w:pPr/>
      <w:hyperlink r:id="rId12">
        <w:r>
          <w:rPr>
            <w:color w:val="263D55"/>
          </w:rPr>
          <w:t>backend/src/Modules/Nexora.Modules.Finance/FinanceModule.cs</w:t>
        </w:r>
      </w:hyperlink>
    </w:p>
    <w:p>
      <w:pPr>
        <w:keepNext/>
        <w:spacing w:after="40"/>
      </w:pPr>
      <w:r>
        <w:rPr>
          <w:b/>
        </w:rPr>
        <w:t>Data S0348</w:t>
      </w:r>
    </w:p>
    <w:p>
      <w:pPr/>
      <w:hyperlink r:id="rId13">
        <w:r>
          <w:rPr>
            <w:color w:val="263D55"/>
          </w:rPr>
          <w:t>backend/src/Modules/Nexora.Modules.Finance/Domain/FinanceEntities.cs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catalogue product supplies price, currency and VAT basis points.</w:t>
      </w:r>
    </w:p>
    <w:p>
      <w:pPr/>
      <w:r>
        <w:t>2. An order holds customer and line items.</w:t>
      </w:r>
    </w:p>
    <w:p>
      <w:pPr/>
      <w:r>
        <w:t>3. Posting produces a stored invoice using validated totals.</w:t>
      </w:r>
    </w:p>
    <w:p>
      <w:pPr/>
      <w:r>
        <w:t>4. An external receipt is recorded separately.</w:t>
      </w:r>
    </w:p>
    <w:p>
      <w:pPr/>
      <w:r>
        <w:t>5. Allocations link available receipt money to invoice balances, with reversals and reconciliation history.</w:t>
      </w:r>
    </w:p>
    <w:p>
      <w:pPr>
        <w:pStyle w:val="Heading2"/>
      </w:pPr>
      <w:r>
        <w:t>Read the code with an explanation</w:t>
      </w:r>
    </w:p>
    <w:p>
      <w:pPr/>
      <w:r>
        <w:t>The frontend displays actions but the backend calculates financial balances and validates amounts. A posted invoice is a stored accounting record. Recording a receipt explicitly does not initiate a charge. Credits reduce invoices; refunds reduce available receipts; allocations connect the two. Keep those meanings separate when tracing request fields.</w:t>
      </w:r>
    </w:p>
    <w:p>
      <w:pPr>
        <w:pStyle w:val="GuideSmall"/>
        <w:keepNext/>
      </w:pPr>
      <w:r>
        <w:t>Source reference S0098 apps/web/src/features/finance/finance-workspace.tsx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useRouter } from "next/navigation";</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S0349 backend/src/Modules/Nexora.Modules.Finance/FinanceModule.cs</w:t>
      </w:r>
    </w:p>
    <w:p>
      <w:pPr/>
      <w:r>
        <w:t>Extract from source line 31. A fragment from a long line is shown without the rest of that line.</w:t>
      </w:r>
    </w:p>
    <w:p>
      <w:pPr>
        <w:pStyle w:val="GuideCode"/>
        <w:keepNext w:val="0"/>
      </w:pPr>
      <w:r>
        <w:t>0031    api.MapGet("/customers",(string?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S0348 backend/src/Modules/Nexora.Modules.Finance/Domain/FinanceEntities.cs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Nexora.Modules.Finance.Domain;</w:t>
      </w:r>
    </w:p>
    <w:p>
      <w:pPr>
        <w:pStyle w:val="GuideCode"/>
      </w:pPr>
      <w:r>
        <w:t>0003  public sealed class CatalogueProduct:TenantEntity</w:t>
      </w:r>
    </w:p>
    <w:p>
      <w:pPr>
        <w:pStyle w:val="GuideCode"/>
        <w:keepNext/>
      </w:pPr>
      <w:r>
        <w:t>0004  {</w:t>
      </w:r>
    </w:p>
    <w:p>
      <w:pPr>
        <w:pStyle w:val="GuideCode"/>
        <w:keepNext/>
      </w:pPr>
      <w:r>
        <w:t>0006  }</w:t>
      </w:r>
    </w:p>
    <w:p>
      <w:pPr>
        <w:pStyle w:val="GuideCode"/>
        <w:keepNext w:val="0"/>
      </w:pPr>
      <w:r>
        <w:t>0007  public sealed class SalesOrder:TenantEntity</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apps/web/src/features/finance/finance-workspace.tsx</w:t>
        </w:r>
      </w:hyperlink>
      <w:r>
        <w:t>.</w:t>
      </w:r>
    </w:p>
    <w:p>
      <w:pPr/>
      <w:r>
        <w:t xml:space="preserve">2. Press Ctrl+F and search for </w:t>
      </w:r>
      <w:r>
        <w:rPr>
          <w:rFonts w:ascii="Consolas" w:hAnsi="Consolas"/>
          <w:sz w:val="19"/>
        </w:rPr>
        <w:t>export function</w:t>
      </w:r>
      <w:r>
        <w:t>. In this snapshot it appears at line 13.</w:t>
      </w:r>
    </w:p>
    <w:p>
      <w:pPr/>
      <w:r>
        <w:t>3. Read-only exercise: find the workspace export and trace the receipts create request to FinanceModule. Find the server history message saying no charge was initiated. Explain why a receipt form is different from taking a card payment.</w:t>
      </w:r>
    </w:p>
    <w:p>
      <w:pPr/>
      <w:r>
        <w:t>4. Record the file, request path and server handler you found. This exercise is read-only; no stored records need to change.</w:t>
      </w:r>
    </w:p>
    <w:p>
      <w:pPr/>
      <w:r>
        <w:t>Extract from source line 13. A fragment from a long line is shown without the rest of that line.</w:t>
      </w:r>
    </w:p>
    <w:p>
      <w:pPr>
        <w:pStyle w:val="GuideCode"/>
        <w:keepNext w:val="0"/>
      </w:pPr>
      <w:r>
        <w:t>0013  export function FinanceWorkspace({permissions, section = "orders"}:{permissions:string[]; section?: string}){</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No live payment processor or statutory accounting acceptance is established by these records. Calculation, posting and currency changes require targeted financial tests; beginners should start with text-only exercises.</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1">
        <w:r>
          <w:rPr>
            <w:color w:val="263D55"/>
          </w:rPr>
          <w:t>11 Nexora membership setup and products</w:t>
        </w:r>
      </w:hyperlink>
      <w:r>
        <w:t xml:space="preserve">, </w:t>
      </w:r>
      <w:hyperlink w:anchor="guide_16">
        <w:r>
          <w:rPr>
            <w:color w:val="263D55"/>
          </w:rPr>
          <w:t>16 Nexora engagement and fundraising</w:t>
        </w:r>
      </w:hyperlink>
      <w:r>
        <w:t xml:space="preserve">, </w:t>
      </w:r>
      <w:hyperlink w:anchor="guide_19">
        <w:r>
          <w:rPr>
            <w:color w:val="263D55"/>
          </w:rPr>
          <w:t>19 Nexora insights and reporting</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finance/finance-workspace.tsx" TargetMode="External"/><Relationship Id="rId12" Type="http://schemas.openxmlformats.org/officeDocument/2006/relationships/hyperlink" Target="D:/Projects new/Nexora/backend/src/Modules/Nexora.Modules.Finance/FinanceModule.cs" TargetMode="External"/><Relationship Id="rId13" Type="http://schemas.openxmlformats.org/officeDocument/2006/relationships/hyperlink" Target="D:/Projects new/Nexora/backend/src/Modules/Nexora.Modules.Finance/Domain/Finance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sales and finance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