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imports exports and migration</w:t>
      </w:r>
    </w:p>
    <w:p>
      <w:pPr>
        <w:keepNext/>
        <w:spacing w:after="40"/>
      </w:pPr>
      <w:r>
        <w:t>Document 18 of the Nexora learning guides</w:t>
      </w:r>
    </w:p>
    <w:p>
      <w:pPr/>
      <w:r>
        <w:t>Source snapshot 14 October 2026 at 06:41 UTC</w:t>
      </w:r>
    </w:p>
    <w:p>
      <w:pPr/>
      <w:r>
        <w:t>Understand data previews, commit steps, export paths and the difference between importing data and database migrations.</w:t>
      </w:r>
    </w:p>
    <w:p>
      <w:pPr>
        <w:pStyle w:val="Heading2"/>
      </w:pPr>
      <w:r>
        <w:t>Recognise the screen and its scope</w:t>
      </w:r>
    </w:p>
    <w:p>
      <w:pPr/>
      <w:r>
        <w:t xml:space="preserve">Open </w:t>
      </w:r>
      <w:r>
        <w:rPr>
          <w:rFonts w:ascii="Consolas" w:hAnsi="Consolas"/>
          <w:sz w:val="19"/>
        </w:rPr>
        <w:t>/work/imports</w:t>
      </w:r>
      <w:r>
        <w:t xml:space="preserve">, </w:t>
      </w:r>
      <w:r>
        <w:rPr>
          <w:rFonts w:ascii="Consolas" w:hAnsi="Consolas"/>
          <w:sz w:val="19"/>
        </w:rPr>
        <w:t>/relationships/contacts</w:t>
      </w:r>
      <w:r>
        <w:t xml:space="preserve">,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Task JSON import preview and commit; CRM CSV import and export; Report and finance exports; Migration workbook field mapping; EF database migrations; Error review and reconciliation.</w:t>
      </w:r>
    </w:p>
    <w:p>
      <w:pPr>
        <w:keepNext/>
        <w:jc w:val="center"/>
      </w:pPr>
      <w:r>
        <w:drawing>
          <wp:inline xmlns:a="http://schemas.openxmlformats.org/drawingml/2006/main" xmlns:pic="http://schemas.openxmlformats.org/drawingml/2006/picture">
            <wp:extent cx="6355080" cy="3301340"/>
            <wp:docPr id="1" name="Picture 1" descr="File journey for Nexora imports exports and migration"/>
            <wp:cNvGraphicFramePr>
              <a:graphicFrameLocks noChangeAspect="1"/>
            </wp:cNvGraphicFramePr>
            <a:graphic>
              <a:graphicData uri="http://schemas.openxmlformats.org/drawingml/2006/picture">
                <pic:pic>
                  <pic:nvPicPr>
                    <pic:cNvPr id="0" name="guide-18-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S0539 WorkModule.cs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S0521 WorkEntities.cs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11">
        <w:r>
          <w:rPr>
            <w:color w:val="263D55"/>
          </w:rPr>
          <w:t>apps/web/src/features/operations/operations-workspace.tsx</w:t>
        </w:r>
      </w:hyperlink>
    </w:p>
    <w:p>
      <w:pPr>
        <w:keepNext/>
        <w:spacing w:after="40"/>
      </w:pPr>
      <w:r>
        <w:rPr>
          <w:b/>
        </w:rPr>
        <w:t>Server S0539</w:t>
      </w:r>
    </w:p>
    <w:p>
      <w:pPr/>
      <w:hyperlink r:id="rId12">
        <w:r>
          <w:rPr>
            <w:color w:val="263D55"/>
          </w:rPr>
          <w:t>backend/src/Modules/Nexora.Modules.Work/WorkModule.cs</w:t>
        </w:r>
      </w:hyperlink>
    </w:p>
    <w:p>
      <w:pPr>
        <w:keepNext/>
        <w:spacing w:after="40"/>
      </w:pPr>
      <w:r>
        <w:rPr>
          <w:b/>
        </w:rPr>
        <w:t>Data S0521</w:t>
      </w:r>
    </w:p>
    <w:p>
      <w:pPr/>
      <w:hyperlink r:id="rId13">
        <w:r>
          <w:rPr>
            <w:color w:val="263D55"/>
          </w:rPr>
          <w:t>backend/src/Modules/Nexora.Modules.Work/Domain/WorkEntities.cs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A data import first parses rows into a request.</w:t>
      </w:r>
    </w:p>
    <w:p>
      <w:pPr/>
      <w:r>
        <w:t>2. Preview validates rows and records errors without the final business write.</w:t>
      </w:r>
    </w:p>
    <w:p>
      <w:pPr/>
      <w:r>
        <w:t>3. An authorised commit applies a validated import using its version.</w:t>
      </w:r>
    </w:p>
    <w:p>
      <w:pPr/>
      <w:r>
        <w:t>4. Exports return the permitted matching records.</w:t>
      </w:r>
    </w:p>
    <w:p>
      <w:pPr/>
      <w:r>
        <w:t>5. Database migrations separately change table structure, not business import row mapping.</w:t>
      </w:r>
    </w:p>
    <w:p>
      <w:pPr>
        <w:pStyle w:val="Heading2"/>
      </w:pPr>
      <w:r>
        <w:t>Read the code with an explanation</w:t>
      </w:r>
    </w:p>
    <w:p>
      <w:pPr/>
      <w:r>
        <w:t>A workbook field inventory is a mapping aid, not a universal working importer. The Work screen specifically accepts up to 500 task rows as JSON. CRM has its own import endpoints and schema. EF migration files change the SQL table design and are normally generated from model changes. Never treat a successful preview as proof a full migration reconciled correctly.</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S0539 backend/src/Modules/Nexora.Modules.Work/WorkModule.cs</w:t>
      </w:r>
    </w:p>
    <w:p>
      <w:pPr/>
      <w:r>
        <w:t>Extract from source line 25. A fragment from a long line is shown without the rest of that line.</w:t>
      </w:r>
    </w:p>
    <w:p>
      <w:pPr>
        <w:pStyle w:val="GuideCode"/>
        <w:keepNext w:val="0"/>
      </w:pPr>
      <w:r>
        <w:t>0025  ork.manage", typeof(WorkItem));api.MapGet("/directory",(IIdentityDirectory directory,C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S0521 backend/src/Modules/Nexora.Modules.Work/Domain/WorkEntities.cs</w:t>
      </w:r>
    </w:p>
    <w:p>
      <w:pPr/>
      <w:r>
        <w:t>Selected opening lines with their original numbers. The complete file is in the HTML source library.</w:t>
      </w:r>
    </w:p>
    <w:p>
      <w:pPr>
        <w:pStyle w:val="GuideCode"/>
        <w:keepNext/>
      </w:pPr>
      <w:r>
        <w:t>0001  using Nexora.BuildingBlocks.Domain;</w:t>
      </w:r>
    </w:p>
    <w:p>
      <w:pPr>
        <w:pStyle w:val="GuideCode"/>
        <w:keepNext w:val="0"/>
      </w:pPr>
      <w:r>
        <w:t>0002  namespace Nexora.Modules.Work.Domain;</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apps/web/src/features/operations/operations-workspace.tsx</w:t>
        </w:r>
      </w:hyperlink>
      <w:r>
        <w:t>.</w:t>
      </w:r>
    </w:p>
    <w:p>
      <w:pPr/>
      <w:r>
        <w:t xml:space="preserve">2. Press Ctrl+F and search for </w:t>
      </w:r>
      <w:r>
        <w:rPr>
          <w:rFonts w:ascii="Consolas" w:hAnsi="Consolas"/>
          <w:sz w:val="19"/>
        </w:rPr>
        <w:t>Validate and preview</w:t>
      </w:r>
      <w:r>
        <w:t>. In this snapshot it appears at line 31.</w:t>
      </w:r>
    </w:p>
    <w:p>
      <w:pPr/>
      <w:r>
        <w:t>3. Replace only the task import button label. Open /work/imports in create mode and inspect the form. Do not click Commit validated import or run a database migration for this text exercise.</w:t>
      </w:r>
    </w:p>
    <w:p>
      <w:pPr/>
      <w:r>
        <w:t xml:space="preserve">4. Replace only </w:t>
      </w:r>
      <w:r>
        <w:rPr>
          <w:rFonts w:ascii="Consolas" w:hAnsi="Consolas"/>
          <w:sz w:val="19"/>
        </w:rPr>
        <w:t>Validate and preview</w:t>
      </w:r>
      <w:r>
        <w:t xml:space="preserve"> with </w:t>
      </w:r>
      <w:r>
        <w:rPr>
          <w:rFonts w:ascii="Consolas" w:hAnsi="Consolas"/>
          <w:sz w:val="19"/>
        </w:rPr>
        <w:t>Check rows and preview</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31. A fragment from a long line is shown without the rest of that line.</w:t>
      </w:r>
    </w:p>
    <w:p>
      <w:pPr>
        <w:pStyle w:val="GuideCode"/>
        <w:keepNext w:val="0"/>
      </w:pPr>
      <w:r>
        <w:t>0031  ed={busy} className={primaryClass}&gt;Validate and preview&lt;/button&gt;&lt;/form&gt;&lt;/Panel&gt;}</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Preview, commit and reconciliation are distinct evidence. A complete customer migration still needs source-specific mapping, counts, error review and acceptance. A schema change needs a reviewed migration for the appropriate context.</w:t>
      </w:r>
    </w:p>
    <w:p>
      <w:pPr>
        <w:pStyle w:val="Heading2"/>
      </w:pPr>
      <w:r>
        <w:t>Continue learning</w:t>
      </w:r>
    </w:p>
    <w:p>
      <w:pPr/>
      <w:r>
        <w:t xml:space="preserve">Related guides </w:t>
      </w:r>
      <w:hyperlink w:anchor="guide_05">
        <w:r>
          <w:rPr>
            <w:color w:val="263D55"/>
          </w:rPr>
          <w:t>05 Nexora CRM contacts</w:t>
        </w:r>
      </w:hyperlink>
      <w:r>
        <w:t xml:space="preserve">, </w:t>
      </w:r>
      <w:hyperlink w:anchor="guide_17">
        <w:r>
          <w:rPr>
            <w:color w:val="263D55"/>
          </w:rPr>
          <w:t>17 Nexora tasks and notifications</w:t>
        </w:r>
      </w:hyperlink>
      <w:r>
        <w:t xml:space="preserve">, </w:t>
      </w:r>
      <w:hyperlink w:anchor="guide_19">
        <w:r>
          <w:rPr>
            <w:color w:val="263D55"/>
          </w:rPr>
          <w:t>19 Nexora insights and reporting</w:t>
        </w:r>
      </w:hyperlink>
      <w:r>
        <w:t xml:space="preserve">, </w:t>
      </w:r>
      <w:hyperlink w:anchor="guide_30">
        <w:r>
          <w:rPr>
            <w:color w:val="263D55"/>
          </w:rPr>
          <w:t>30 Nexora backend database and maintenance</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operations/operations-workspace.tsx" TargetMode="External"/><Relationship Id="rId12" Type="http://schemas.openxmlformats.org/officeDocument/2006/relationships/hyperlink" Target="D:/Projects new/Nexora/backend/src/Modules/Nexora.Modules.Work/WorkModule.cs" TargetMode="External"/><Relationship Id="rId13" Type="http://schemas.openxmlformats.org/officeDocument/2006/relationships/hyperlink" Target="D:/Projects new/Nexora/backend/src/Modules/Nexora.Modules.Work/Domain/Work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imports exports and migration</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