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workflow designer and runtime</w:t>
      </w:r>
    </w:p>
    <w:p>
      <w:pPr>
        <w:keepNext/>
        <w:spacing w:after="40"/>
      </w:pPr>
      <w:r>
        <w:t>Document 22 of the Nexora learning guides</w:t>
      </w:r>
    </w:p>
    <w:p>
      <w:pPr/>
      <w:r>
        <w:t>Source snapshot 14 October 2026 at 06:41 UTC</w:t>
      </w:r>
    </w:p>
    <w:p>
      <w:pPr/>
      <w:r>
        <w:t>Understand workflow drafts, nodes, validation, publishing, activation, runs and operational gates.</w:t>
      </w:r>
    </w:p>
    <w:p>
      <w:pPr>
        <w:pStyle w:val="Heading2"/>
      </w:pPr>
      <w:r>
        <w:t>Recognise the screen and its scope</w:t>
      </w:r>
    </w:p>
    <w:p>
      <w:pPr/>
      <w:r>
        <w:t xml:space="preserve">Open </w:t>
      </w:r>
      <w:r>
        <w:rPr>
          <w:rFonts w:ascii="Consolas" w:hAnsi="Consolas"/>
          <w:sz w:val="19"/>
        </w:rPr>
        <w:t>/workflow-designer</w:t>
      </w:r>
      <w:r>
        <w:t xml:space="preserve">, </w:t>
      </w:r>
      <w:r>
        <w:rPr>
          <w:rFonts w:ascii="Consolas" w:hAnsi="Consolas"/>
          <w:sz w:val="19"/>
        </w:rPr>
        <w:t>/workflow-designer/content-preview/[pageId]/[revisionId]</w:t>
      </w:r>
      <w:r>
        <w:t>. CRM routes use port 3017; member routes use 3018; public website routes can use 3019. Brackets name a route parameter, not text to paste into a browser. Choose a real record or site id from the application.</w:t>
      </w:r>
    </w:p>
    <w:p>
      <w:pPr/>
      <w:r>
        <w:t>This guide covers Catalogue and inactive draft templates; Canvas nodes conditions queries and variables; Triggers field changes and schedules; Validation version publishing and activation; Approvals exceptions and run history; Connectors delivery reconciliation import export and AI draft.</w:t>
      </w:r>
    </w:p>
    <w:p>
      <w:pPr>
        <w:keepNext/>
        <w:jc w:val="center"/>
      </w:pPr>
      <w:r>
        <w:drawing>
          <wp:inline xmlns:a="http://schemas.openxmlformats.org/drawingml/2006/main" xmlns:pic="http://schemas.openxmlformats.org/drawingml/2006/picture">
            <wp:extent cx="6355080" cy="3301340"/>
            <wp:docPr id="1" name="Picture 1" descr="File journey for Nexora workflow designer and runtime"/>
            <wp:cNvGraphicFramePr>
              <a:graphicFrameLocks noChangeAspect="1"/>
            </wp:cNvGraphicFramePr>
            <a:graphic>
              <a:graphicData uri="http://schemas.openxmlformats.org/drawingml/2006/picture">
                <pic:pic>
                  <pic:nvPicPr>
                    <pic:cNvPr id="0" name="guide-22-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S0156 workflow-designer-workspace.tsx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S0565 WorkflowModule.cs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S0564 WorkflowModels.cs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S0156</w:t>
      </w:r>
    </w:p>
    <w:p>
      <w:pPr/>
      <w:hyperlink r:id="rId11">
        <w:r>
          <w:rPr>
            <w:color w:val="263D55"/>
          </w:rPr>
          <w:t>apps/web/src/features/workflows/workflow-designer-workspace.tsx</w:t>
        </w:r>
      </w:hyperlink>
    </w:p>
    <w:p>
      <w:pPr>
        <w:keepNext/>
        <w:spacing w:after="40"/>
      </w:pPr>
      <w:r>
        <w:rPr>
          <w:b/>
        </w:rPr>
        <w:t>Server S0565</w:t>
      </w:r>
    </w:p>
    <w:p>
      <w:pPr/>
      <w:hyperlink r:id="rId12">
        <w:r>
          <w:rPr>
            <w:color w:val="263D55"/>
          </w:rPr>
          <w:t>backend/src/Modules/Nexora.Modules.Workflow/WorkflowModule.cs</w:t>
        </w:r>
      </w:hyperlink>
    </w:p>
    <w:p>
      <w:pPr>
        <w:keepNext/>
        <w:spacing w:after="40"/>
      </w:pPr>
      <w:r>
        <w:rPr>
          <w:b/>
        </w:rPr>
        <w:t>Data S0564</w:t>
      </w:r>
    </w:p>
    <w:p>
      <w:pPr/>
      <w:hyperlink r:id="rId13">
        <w:r>
          <w:rPr>
            <w:color w:val="263D55"/>
          </w:rPr>
          <w:t>backend/src/Modules/Nexora.Modules.Workflow/WorkflowModels.cs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designer loads metadata, definitions and permissions.</w:t>
      </w:r>
    </w:p>
    <w:p>
      <w:pPr/>
      <w:r>
        <w:t>2. A draft graph contains typed nodes and connections.</w:t>
      </w:r>
    </w:p>
    <w:p>
      <w:pPr/>
      <w:r>
        <w:t>3. Validation checks graph structure, conditions and action inputs.</w:t>
      </w:r>
    </w:p>
    <w:p>
      <w:pPr/>
      <w:r>
        <w:t>4. Publishing creates a version; activation separately enables its triggers.</w:t>
      </w:r>
    </w:p>
    <w:p>
      <w:pPr/>
      <w:r>
        <w:t>5. The processor records runs, steps, approvals, exceptions and delivery outcomes.</w:t>
      </w:r>
    </w:p>
    <w:p>
      <w:pPr>
        <w:pStyle w:val="Heading2"/>
      </w:pPr>
      <w:r>
        <w:t>Read the code with an explanation</w:t>
      </w:r>
    </w:p>
    <w:p>
      <w:pPr/>
      <w:r>
        <w:t>A graph is a set of steps and links. A draft is editable; a published version is the reference used by runs. Activation controls whether eligible triggers start it. Saving a diagram does not execute it. WorkflowProcessor and registered module actions perform server work, with gates and persisted state. Preview, test, publish and execute have different consequences.</w:t>
      </w:r>
    </w:p>
    <w:p>
      <w:pPr>
        <w:pStyle w:val="GuideSmall"/>
        <w:keepNext/>
      </w:pPr>
      <w:r>
        <w:t>Source reference S0156 apps/web/src/features/workflows/workflow-designer-workspace.tsx</w:t>
      </w:r>
    </w:p>
    <w:p>
      <w:pPr/>
      <w:r>
        <w:t>Selected opening lines with their original numbers. The complete file is in the HTML source library.</w:t>
      </w:r>
    </w:p>
    <w:p>
      <w:pPr>
        <w:pStyle w:val="GuideCode"/>
        <w:keepNext/>
      </w:pPr>
      <w:r>
        <w:t>0001  "use client";</w:t>
      </w:r>
    </w:p>
    <w:p>
      <w:pPr>
        <w:pStyle w:val="GuideCode"/>
        <w:keepNext/>
      </w:pPr>
      <w:r>
        <w:t>0003  import Link from "next/link";</w:t>
      </w:r>
    </w:p>
    <w:p>
      <w:pPr>
        <w:pStyle w:val="GuideCode"/>
      </w:pPr>
      <w:r>
        <w:t>0004  import { useCallback, useEffect, useId, useState } from "react";</w:t>
      </w:r>
    </w:p>
    <w:p>
      <w:pPr>
        <w:pStyle w:val="GuideCode"/>
        <w:keepNext/>
      </w:pPr>
      <w:r>
        <w:t>0005  import { PanelToggle, useCollapsedPanel } from "@/features/shared/panel-toggle";</w:t>
      </w:r>
    </w:p>
    <w:p>
      <w:pPr>
        <w:pStyle w:val="GuideCode"/>
        <w:keepNext/>
      </w:pPr>
      <w:r>
        <w:t>0006  import {</w:t>
      </w:r>
    </w:p>
    <w:p>
      <w:pPr>
        <w:pStyle w:val="GuideCode"/>
        <w:keepNext w:val="0"/>
      </w:pPr>
      <w:r>
        <w:t>0007    ArrowLeft,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S0565 backend/src/Modules/Nexora.Modules.Workflow/WorkflowModule.cs</w:t>
      </w:r>
    </w:p>
    <w:p>
      <w:pPr/>
      <w:r>
        <w:t>Extract from source line 33. A fragment from a long line is shown without the rest of that line.</w:t>
      </w:r>
    </w:p>
    <w:p>
      <w:pPr>
        <w:pStyle w:val="GuideCode"/>
        <w:keepNext w:val="0"/>
      </w:pPr>
      <w:r>
        <w:t>0033    api.MapGet("/metadata",(IEnumerable&lt;Nexora.BuildingBloc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S0564 backend/src/Modules/Nexora.Modules.Workflow/WorkflowModels.cs</w:t>
      </w:r>
    </w:p>
    <w:p>
      <w:pPr/>
      <w:r>
        <w:t>Selected opening lines with their original numbers. The complete file is in the HTML source library.</w:t>
      </w:r>
    </w:p>
    <w:p>
      <w:pPr>
        <w:pStyle w:val="GuideCode"/>
        <w:keepNext/>
      </w:pPr>
      <w:r>
        <w:t>0001  using Nexora.BuildingBlocks.Persistence;</w:t>
      </w:r>
    </w:p>
    <w:p>
      <w:pPr>
        <w:pStyle w:val="GuideCode"/>
        <w:keepNext/>
      </w:pPr>
      <w:r>
        <w:t>0002  using Nexora.BuildingBlocks.Domain;</w:t>
      </w:r>
    </w:p>
    <w:p>
      <w:pPr>
        <w:pStyle w:val="GuideCode"/>
      </w:pPr>
      <w:r>
        <w:t>0003  namespace Nexora.Modules.Workflow;</w:t>
      </w:r>
    </w:p>
    <w:p>
      <w:pPr>
        <w:pStyle w:val="GuideCode"/>
        <w:keepNext/>
      </w:pPr>
      <w:r>
        <w:t>0004  public sealed class WorkflowDefinition:TenantEntity</w:t>
      </w:r>
    </w:p>
    <w:p>
      <w:pPr>
        <w:pStyle w:val="GuideCode"/>
        <w:keepNext/>
      </w:pPr>
      <w:r>
        <w:t>0005  {</w:t>
      </w:r>
    </w:p>
    <w:p>
      <w:pPr>
        <w:pStyle w:val="GuideCode"/>
        <w:keepNext w:val="0"/>
      </w:pPr>
      <w:r>
        <w:t>0006   public string Name{get;set;}=""; public string Description{get;set;}=""; public string DraftJson{get;set;}="";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4">
        <w:r>
          <w:rPr>
            <w:color w:val="263D55"/>
          </w:rPr>
          <w:t>apps/web/src/features/workflows/workflow-editor.tsx</w:t>
        </w:r>
      </w:hyperlink>
      <w:r>
        <w:t>.</w:t>
      </w:r>
    </w:p>
    <w:p>
      <w:pPr/>
      <w:r>
        <w:t xml:space="preserve">2. Press Ctrl+F and search for </w:t>
      </w:r>
      <w:r>
        <w:rPr>
          <w:rFonts w:ascii="Consolas" w:hAnsi="Consolas"/>
          <w:sz w:val="19"/>
        </w:rPr>
        <w:t>Drag nodes to arrange. Set connections in node settings.</w:t>
      </w:r>
      <w:r>
        <w:t>. In this snapshot it appears at line 13.</w:t>
      </w:r>
    </w:p>
    <w:p>
      <w:pPr/>
      <w:r>
        <w:t>3. Replace only the canvas help sentence. Open a draft and inspect the canvas. Do not publish, activate, install templates or execute it during this wording exercise.</w:t>
      </w:r>
    </w:p>
    <w:p>
      <w:pPr/>
      <w:r>
        <w:t xml:space="preserve">4. Replace only </w:t>
      </w:r>
      <w:r>
        <w:rPr>
          <w:rFonts w:ascii="Consolas" w:hAnsi="Consolas"/>
          <w:sz w:val="19"/>
        </w:rPr>
        <w:t>Drag nodes to arrange. Set connections in node settings.</w:t>
      </w:r>
      <w:r>
        <w:t xml:space="preserve"> with </w:t>
      </w:r>
      <w:r>
        <w:rPr>
          <w:rFonts w:ascii="Consolas" w:hAnsi="Consolas"/>
          <w:sz w:val="19"/>
        </w:rPr>
        <w:t>Drag steps to arrange them. Choose links in step settings.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13. A fragment from a long line is shown without the rest of that line.</w:t>
      </w:r>
    </w:p>
    <w:p>
      <w:pPr>
        <w:pStyle w:val="GuideCode"/>
        <w:keepNext w:val="0"/>
      </w:pPr>
      <w:r>
        <w:t>0013  tZoom(1)}&gt;Reset view&lt;/button&gt;&lt;span&gt;Drag nodes to arrange. Set connections in node settings.&lt;/span&gt;&lt;/div&gt;&lt;div className={`${vertical?"h-[</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queued email or connector delivery is not confirmed external delivery. Provider availability and reconciliation are separate. Template installation creates records, and execution can alter operational data. Trace permissions and action capabilities before enabling a workflow.</w:t>
      </w:r>
    </w:p>
    <w:p>
      <w:pPr>
        <w:pStyle w:val="Heading2"/>
      </w:pPr>
      <w:r>
        <w:t>Continue learning</w:t>
      </w:r>
    </w:p>
    <w:p>
      <w:pPr/>
      <w:r>
        <w:t xml:space="preserve">Related guides </w:t>
      </w:r>
      <w:hyperlink w:anchor="guide_10">
        <w:r>
          <w:rPr>
            <w:color w:val="263D55"/>
          </w:rPr>
          <w:t>10 Nexora membership applications and decisions</w:t>
        </w:r>
      </w:hyperlink>
      <w:r>
        <w:t xml:space="preserve">, </w:t>
      </w:r>
      <w:hyperlink w:anchor="guide_15">
        <w:r>
          <w:rPr>
            <w:color w:val="263D55"/>
          </w:rPr>
          <w:t>15 Nexora sales and finance</w:t>
        </w:r>
      </w:hyperlink>
      <w:r>
        <w:t xml:space="preserve">, </w:t>
      </w:r>
      <w:hyperlink w:anchor="guide_17">
        <w:r>
          <w:rPr>
            <w:color w:val="263D55"/>
          </w:rPr>
          <w:t>17 Nexora tasks and notifications</w:t>
        </w:r>
      </w:hyperlink>
      <w:r>
        <w:t xml:space="preserve">, </w:t>
      </w:r>
      <w:hyperlink w:anchor="guide_21">
        <w:r>
          <w:rPr>
            <w:color w:val="263D55"/>
          </w:rPr>
          <w:t>21 Nexora automation controllers</w:t>
        </w:r>
      </w:hyperlink>
      <w:r>
        <w:t xml:space="preserve">, </w:t>
      </w:r>
      <w:hyperlink w:anchor="guide_27">
        <w:r>
          <w:rPr>
            <w:color w:val="263D55"/>
          </w:rPr>
          <w:t>27 Nexora website editor and publishing</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workflows/workflow-designer-workspace.tsx" TargetMode="External"/><Relationship Id="rId12" Type="http://schemas.openxmlformats.org/officeDocument/2006/relationships/hyperlink" Target="D:/Projects new/Nexora/backend/src/Modules/Nexora.Modules.Workflow/WorkflowModule.cs" TargetMode="External"/><Relationship Id="rId13" Type="http://schemas.openxmlformats.org/officeDocument/2006/relationships/hyperlink" Target="D:/Projects new/Nexora/backend/src/Modules/Nexora.Modules.Workflow/WorkflowModels.cs" TargetMode="External"/><Relationship Id="rId14" Type="http://schemas.openxmlformats.org/officeDocument/2006/relationships/hyperlink" Target="D:/Projects new/Nexora/apps/web/src/features/workflows/workflow-editor.t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workflow designer and runtime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