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Nexora documents evidence and file safety</w:t>
      </w:r>
    </w:p>
    <w:p>
      <w:pPr>
        <w:keepNext/>
        <w:spacing w:after="40"/>
      </w:pPr>
      <w:r>
        <w:t>Document 29 of the Nexora learning guides</w:t>
      </w:r>
    </w:p>
    <w:p>
      <w:pPr/>
      <w:r>
        <w:t>Source snapshot 14 October 2026 at 06:41 UTC</w:t>
      </w:r>
    </w:p>
    <w:p>
      <w:pPr/>
      <w:r>
        <w:t>Understand CRM files, application evidence, CMS media and quarantined uploads.</w:t>
      </w:r>
    </w:p>
    <w:p>
      <w:pPr>
        <w:pStyle w:val="Heading2"/>
      </w:pPr>
      <w:r>
        <w:t>Recognise the screen and its scope</w:t>
      </w:r>
    </w:p>
    <w:p>
      <w:pPr/>
      <w:r>
        <w:t xml:space="preserve">Open </w:t>
      </w:r>
      <w:r>
        <w:rPr>
          <w:rFonts w:ascii="Consolas" w:hAnsi="Consolas"/>
          <w:sz w:val="19"/>
        </w:rPr>
        <w:t>/relationships/contacts</w:t>
      </w:r>
      <w:r>
        <w:t xml:space="preserve">, </w:t>
      </w:r>
      <w:r>
        <w:rPr>
          <w:rFonts w:ascii="Consolas" w:hAnsi="Consolas"/>
          <w:sz w:val="19"/>
        </w:rPr>
        <w:t>/membership/applications/[id]</w:t>
      </w:r>
      <w:r>
        <w:t xml:space="preserve">, </w:t>
      </w:r>
      <w:r>
        <w:rPr>
          <w:rFonts w:ascii="Consolas" w:hAnsi="Consolas"/>
          <w:sz w:val="19"/>
        </w:rPr>
        <w:t>/portal/applications</w:t>
      </w:r>
      <w:r>
        <w:t xml:space="preserve">, </w:t>
      </w:r>
      <w:r>
        <w:rPr>
          <w:rFonts w:ascii="Consolas" w:hAnsi="Consolas"/>
          <w:sz w:val="19"/>
        </w:rPr>
        <w:t>/website</w:t>
      </w:r>
      <w:r>
        <w:t>. CRM routes use port 3017; member routes use 3018; public website routes can use 3019. Brackets name a route parameter, not text to paste into a browser. Choose a real record or site id from the application.</w:t>
      </w:r>
    </w:p>
    <w:p>
      <w:pPr/>
      <w:r>
        <w:t>This guide covers Upload metadata and content; Quarantine and scan states; ClamAV scanner configuration; Clean-file download; Tenant and record access; Application evidence review and CMS public media.</w:t>
      </w:r>
    </w:p>
    <w:p>
      <w:pPr>
        <w:keepNext/>
        <w:jc w:val="center"/>
      </w:pPr>
      <w:r>
        <w:drawing>
          <wp:inline xmlns:a="http://schemas.openxmlformats.org/drawingml/2006/main" xmlns:pic="http://schemas.openxmlformats.org/drawingml/2006/picture">
            <wp:extent cx="6355080" cy="3301340"/>
            <wp:docPr id="1" name="Picture 1" descr="File journey for Nexora documents evidence and file safety"/>
            <wp:cNvGraphicFramePr>
              <a:graphicFrameLocks noChangeAspect="1"/>
            </wp:cNvGraphicFramePr>
            <a:graphic>
              <a:graphicData uri="http://schemas.openxmlformats.org/drawingml/2006/picture">
                <pic:pic>
                  <pic:nvPicPr>
                    <pic:cNvPr id="0" name="guide-29-map.png"/>
                    <pic:cNvPicPr/>
                  </pic:nvPicPr>
                  <pic:blipFill>
                    <a:blip r:embed="rId10"/>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S0133 application-evidence.tsx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S0187 DocumentSafety.cs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S0416 ApplicationEvidence.cs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S0133</w:t>
      </w:r>
    </w:p>
    <w:p>
      <w:pPr/>
      <w:hyperlink r:id="rId11">
        <w:r>
          <w:rPr>
            <w:color w:val="263D55"/>
          </w:rPr>
          <w:t>apps/web/src/features/shared/application-evidence.tsx</w:t>
        </w:r>
      </w:hyperlink>
    </w:p>
    <w:p>
      <w:pPr>
        <w:keepNext/>
        <w:spacing w:after="40"/>
      </w:pPr>
      <w:r>
        <w:rPr>
          <w:b/>
        </w:rPr>
        <w:t>Server S0187</w:t>
      </w:r>
    </w:p>
    <w:p>
      <w:pPr/>
      <w:hyperlink r:id="rId12">
        <w:r>
          <w:rPr>
            <w:color w:val="263D55"/>
          </w:rPr>
          <w:t>backend/src/BuildingBlocks/Nexora.BuildingBlocks/Documents/DocumentSafety.cs</w:t>
        </w:r>
      </w:hyperlink>
    </w:p>
    <w:p>
      <w:pPr>
        <w:keepNext/>
        <w:spacing w:after="40"/>
      </w:pPr>
      <w:r>
        <w:rPr>
          <w:b/>
        </w:rPr>
        <w:t>Data S0416</w:t>
      </w:r>
    </w:p>
    <w:p>
      <w:pPr/>
      <w:hyperlink r:id="rId13">
        <w:r>
          <w:rPr>
            <w:color w:val="263D55"/>
          </w:rPr>
          <w:t>backend/src/Modules/Nexora.Modules.Membership/Domain/ApplicationEvidence.cs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A form sends a file and relevant record or draft id.</w:t>
      </w:r>
    </w:p>
    <w:p>
      <w:pPr/>
      <w:r>
        <w:t>2. The endpoint validates size, type and access.</w:t>
      </w:r>
    </w:p>
    <w:p>
      <w:pPr/>
      <w:r>
        <w:t>3. The shared safety service stores quarantine and scan state.</w:t>
      </w:r>
    </w:p>
    <w:p>
      <w:pPr/>
      <w:r>
        <w:t>4. A scan result controls whether download or publication is allowed.</w:t>
      </w:r>
    </w:p>
    <w:p>
      <w:pPr/>
      <w:r>
        <w:t>5. Record, application and public media endpoints apply their own access rules.</w:t>
      </w:r>
    </w:p>
    <w:p>
      <w:pPr>
        <w:pStyle w:val="Heading2"/>
      </w:pPr>
      <w:r>
        <w:t>Read the code with an explanation</w:t>
      </w:r>
    </w:p>
    <w:p>
      <w:pPr/>
      <w:r>
        <w:t>File metadata is the name, type, size and scan result; file bytes are the actual content. Stored bytes alone do not make a file safe. Missing scanner access deliberately retains quarantine. CRM, portal evidence and CMS media use shared safety concepts but different endpoints and permissions. On Windows, Prepare-LocalDebug.ps1 calls Prepare-LocalDocumentScanner.ps1 before API preparation. The helper can download its configured ClamAV package and signatures, checks the package checksum and starts the local scanner on 127.0.0.1:3310. The Development API configuration points to that address. Inspect its logs under artifacts/local-document-scanner when this preparation fails. Never make the UI treat quarantined as clean to remove an error.</w:t>
      </w:r>
    </w:p>
    <w:p>
      <w:pPr>
        <w:pStyle w:val="GuideSmall"/>
        <w:keepNext/>
      </w:pPr>
      <w:r>
        <w:t>Source reference S0133 apps/web/src/features/shared/application-evidence.tsx</w:t>
      </w:r>
    </w:p>
    <w:p>
      <w:pPr/>
      <w:r>
        <w:t>Selected opening lines with their original numbers. The complete file is in the HTML source library.</w:t>
      </w:r>
    </w:p>
    <w:p>
      <w:pPr>
        <w:pStyle w:val="GuideCode"/>
        <w:keepNext/>
      </w:pPr>
      <w:r>
        <w:t>0001  "use client";</w:t>
      </w:r>
    </w:p>
    <w:p>
      <w:pPr>
        <w:pStyle w:val="GuideCode"/>
        <w:keepNext/>
      </w:pPr>
      <w:r>
        <w:t>0003  import { useEffect, useState } from "react";</w:t>
      </w:r>
    </w:p>
    <w:p>
      <w:pPr>
        <w:pStyle w:val="GuideCode"/>
      </w:pPr>
      <w:r>
        <w:t>0005  type Evidence = { id: string; name: string; size: number; scanStatus: string };</w:t>
      </w:r>
    </w:p>
    <w:p>
      <w:pPr>
        <w:pStyle w:val="GuideCode"/>
        <w:keepNext/>
      </w:pPr>
      <w:r>
        <w:t>0006  type Change = { draftVersion: string };</w:t>
      </w:r>
    </w:p>
    <w:p>
      <w:pPr>
        <w:pStyle w:val="GuideCode"/>
        <w:keepNext/>
      </w:pPr>
      <w:r>
        <w:t>0007  type Props = { path: string; staff?: boolean; version?: string; disabled?: boolean; canScan?: boolean;</w:t>
      </w:r>
    </w:p>
    <w:p>
      <w:pPr>
        <w:pStyle w:val="GuideCode"/>
        <w:keepNext w:val="0"/>
      </w:pPr>
      <w:r>
        <w:t>0008    onChanged?: (version: string) =&gt; void; onBusy?: (busy: boolean) =&gt; void };</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S0187 backend/src/BuildingBlocks/Nexora.BuildingBlocks/Documents/DocumentSafety.cs</w:t>
      </w:r>
    </w:p>
    <w:p>
      <w:pPr/>
      <w:r>
        <w:t>Extract from source line 17. A fragment from a long line is shown without the rest of that line.</w:t>
      </w:r>
    </w:p>
    <w:p>
      <w:pPr>
        <w:pStyle w:val="GuideCode"/>
        <w:keepNext w:val="0"/>
      </w:pPr>
      <w:r>
        <w:t>0017  public static class DocumentSafety</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S0416 backend/src/Modules/Nexora.Modules.Membership/Domain/ApplicationEvidence.cs</w:t>
      </w:r>
    </w:p>
    <w:p>
      <w:pPr/>
      <w:r>
        <w:t>Selected opening lines with their original numbers. The complete file is in the HTML source library.</w:t>
      </w:r>
    </w:p>
    <w:p>
      <w:pPr>
        <w:pStyle w:val="GuideCode"/>
        <w:keepNext/>
      </w:pPr>
      <w:r>
        <w:t>0001  using Nexora.BuildingBlocks.Domain;</w:t>
      </w:r>
    </w:p>
    <w:p>
      <w:pPr>
        <w:pStyle w:val="GuideCode"/>
        <w:keepNext/>
      </w:pPr>
      <w:r>
        <w:t>0002  namespace Nexora.Modules.Membership.Domain;</w:t>
      </w:r>
    </w:p>
    <w:p>
      <w:pPr>
        <w:pStyle w:val="GuideCode"/>
      </w:pPr>
      <w:r>
        <w:t>0004  public sealed class ApplicationEvidence : TenantEntity</w:t>
      </w:r>
    </w:p>
    <w:p>
      <w:pPr>
        <w:pStyle w:val="GuideCode"/>
        <w:keepNext/>
      </w:pPr>
      <w:r>
        <w:t>0005  {</w:t>
      </w:r>
    </w:p>
    <w:p>
      <w:pPr>
        <w:pStyle w:val="GuideCode"/>
        <w:keepNext/>
      </w:pPr>
      <w:r>
        <w:t>0006      public Guid DraftId { get; set; }</w:t>
      </w:r>
    </w:p>
    <w:p>
      <w:pPr>
        <w:pStyle w:val="GuideCode"/>
        <w:keepNext w:val="0"/>
      </w:pPr>
      <w:r>
        <w:t>0007      public string Name { get; set; } = "";</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11">
        <w:r>
          <w:rPr>
            <w:color w:val="263D55"/>
          </w:rPr>
          <w:t>apps/web/src/features/shared/application-evidence.tsx</w:t>
        </w:r>
      </w:hyperlink>
      <w:r>
        <w:t>.</w:t>
      </w:r>
    </w:p>
    <w:p>
      <w:pPr/>
      <w:r>
        <w:t xml:space="preserve">2. Press Ctrl+F and search for </w:t>
      </w:r>
      <w:r>
        <w:rPr>
          <w:rFonts w:ascii="Consolas" w:hAnsi="Consolas"/>
          <w:sz w:val="19"/>
        </w:rPr>
        <w:t>export function</w:t>
      </w:r>
      <w:r>
        <w:t>. In this snapshot it appears at line 10.</w:t>
      </w:r>
    </w:p>
    <w:p>
      <w:pPr/>
      <w:r>
        <w:t>3. Read-only exercise: find the upload, list and download requests. Trace the scan-status rendering to the backend safety code. Explain why a successful upload can still be unavailable for download.</w:t>
      </w:r>
    </w:p>
    <w:p>
      <w:pPr/>
      <w:r>
        <w:t>4. Record the file, request path and server handler you found. This exercise is read-only; no stored records need to change.</w:t>
      </w:r>
    </w:p>
    <w:p>
      <w:pPr/>
      <w:r>
        <w:t>Extract from source line 10. A fragment from a long line is shown without the rest of that line.</w:t>
      </w:r>
    </w:p>
    <w:p>
      <w:pPr>
        <w:pStyle w:val="GuideCode"/>
        <w:keepNext w:val="0"/>
      </w:pPr>
      <w:r>
        <w:t>0010  export function ApplicationEvidence({ path, staff = false, version, disabled = false, canScan = false, onChanged, onBusy }: Props) {</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No live scanner was exercised for this documentation task. A controlled clean-scan test is different from an operational ClamAV deployment. Leave access and quarantine checks in place.</w:t>
      </w:r>
    </w:p>
    <w:p>
      <w:pPr>
        <w:pStyle w:val="Heading2"/>
      </w:pPr>
      <w:r>
        <w:t>Continue learning</w:t>
      </w:r>
    </w:p>
    <w:p>
      <w:pPr/>
      <w:r>
        <w:t xml:space="preserve">Related guides </w:t>
      </w:r>
      <w:hyperlink w:anchor="guide_05">
        <w:r>
          <w:rPr>
            <w:color w:val="263D55"/>
          </w:rPr>
          <w:t>05 Nexora CRM contacts</w:t>
        </w:r>
      </w:hyperlink>
      <w:r>
        <w:t xml:space="preserve">, </w:t>
      </w:r>
      <w:hyperlink w:anchor="guide_10">
        <w:r>
          <w:rPr>
            <w:color w:val="263D55"/>
          </w:rPr>
          <w:t>10 Nexora membership applications and decisions</w:t>
        </w:r>
      </w:hyperlink>
      <w:r>
        <w:t xml:space="preserve">, </w:t>
      </w:r>
      <w:hyperlink w:anchor="guide_25">
        <w:r>
          <w:rPr>
            <w:color w:val="263D55"/>
          </w:rPr>
          <w:t>25 Nexora member portal journeys</w:t>
        </w:r>
      </w:hyperlink>
      <w:r>
        <w:t xml:space="preserve">, </w:t>
      </w:r>
      <w:hyperlink w:anchor="guide_27">
        <w:r>
          <w:rPr>
            <w:color w:val="263D55"/>
          </w:rPr>
          <w:t>27 Nexora website editor and publishing</w:t>
        </w:r>
      </w:hyperlink>
      <w:r>
        <w:t xml:space="preserve">, </w:t>
      </w:r>
      <w:hyperlink w:anchor="guide_28">
        <w:r>
          <w:rPr>
            <w:color w:val="263D55"/>
          </w:rPr>
          <w:t>28 Nexora public website</w:t>
        </w:r>
      </w:hyperlink>
      <w:r>
        <w:t xml:space="preserve">, </w:t>
      </w:r>
      <w:hyperlink w:anchor="guide_30">
        <w:r>
          <w:rPr>
            <w:color w:val="263D55"/>
          </w:rPr>
          <w:t>30 Nexora backend database and maintenance</w:t>
        </w:r>
      </w:hyperlink>
      <w:r>
        <w:t>.</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uideSmall"/>
      <w:jc w:val="right"/>
    </w:pPr>
    <w:r>
      <w:t xml:space="preserve">Nexora learning guide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b w:val="0"/>
      <w:color w:val="000000"/>
      <w:sz w:val="22"/>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3"/>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spacing w:before="240" w:after="140"/>
      <w:outlineLvl w:val="3"/>
    </w:pPr>
    <w:rPr>
      <w:rFonts w:asciiTheme="majorHAnsi" w:eastAsiaTheme="majorEastAsia" w:hAnsiTheme="majorHAnsi" w:cstheme="majorBidi" w:ascii="Arial" w:hAnsi="Arial"/>
      <w:b/>
      <w:bCs/>
      <w:i/>
      <w:iCs/>
      <w:color w:val="00000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val="0"/>
      <w:color w:val="000000"/>
      <w:spacing w:val="5"/>
      <w:kern w:val="28"/>
      <w:sz w:val="56"/>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b w:val="0"/>
      <w:i/>
      <w:iCs/>
      <w:color w:val="000000"/>
      <w:spacing w:val="15"/>
      <w:sz w:val="26"/>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keepLines/>
      <w:spacing w:after="0" w:before="0" w:line="245" w:lineRule="auto"/>
      <w:ind w:left="640" w:hanging="640"/>
    </w:pPr>
    <w:rPr>
      <w:rFonts w:ascii="Consolas" w:hAnsi="Consolas"/>
      <w:b w:val="0"/>
      <w:color w:val="000000"/>
      <w:sz w:val="19"/>
      <w:rFonts w:ascii="Consolas" w:hAnsi="Consolas" w:eastAsia="Consolas" w:cs="Consolas"/>
    </w:rPr>
  </w:style>
  <w:style w:type="paragraph" w:customStyle="1" w:styleId="TableBody">
    <w:name w:val="Table Body"/>
    <w:pPr>
      <w:spacing w:after="20" w:line="250" w:lineRule="auto"/>
    </w:pPr>
    <w:rPr>
      <w:rFonts w:ascii="Arial" w:hAnsi="Arial"/>
      <w:b w:val="0"/>
      <w:color w:val="000000"/>
      <w:sz w:val="20"/>
      <w:rFonts w:ascii="Arial" w:hAnsi="Arial" w:eastAsia="Arial" w:cs="Arial"/>
    </w:rPr>
  </w:style>
  <w:style w:type="paragraph" w:customStyle="1" w:styleId="GuideSmall">
    <w:name w:val="Guide Small"/>
    <w:rPr>
      <w:rFonts w:ascii="Arial" w:hAnsi="Arial"/>
      <w:b w:val="0"/>
      <w:color w:val="000000"/>
      <w:sz w:val="19"/>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D:/Projects new/Nexora/apps/web/src/features/shared/application-evidence.tsx" TargetMode="External"/><Relationship Id="rId12" Type="http://schemas.openxmlformats.org/officeDocument/2006/relationships/hyperlink" Target="D:/Projects new/Nexora/backend/src/BuildingBlocks/Nexora.BuildingBlocks/Documents/DocumentSafety.cs" TargetMode="External"/><Relationship Id="rId13" Type="http://schemas.openxmlformats.org/officeDocument/2006/relationships/hyperlink" Target="D:/Projects new/Nexora/backend/src/Modules/Nexora.Modules.Membership/Domain/ApplicationEvidence.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 documents evidence and file safety</dc:title>
  <dc:subject>Beginner guidance with verified source maps</dc:subject>
  <dc:creator>Nexora</dc:creator>
  <cp:keywords/>
  <dc:description>generated by python-docx</dc:description>
  <cp:lastModifiedBy/>
  <cp:revision>1</cp:revision>
  <dcterms:created xsi:type="dcterms:W3CDTF">2013-12-23T23:15:00Z</dcterms:created>
  <dcterms:modified xsi:type="dcterms:W3CDTF">2013-12-23T23:15:00Z</dcterms:modified>
  <cp:category/>
</cp:coreProperties>
</file>