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backend database and maintenance</w:t>
      </w:r>
    </w:p>
    <w:p>
      <w:pPr>
        <w:keepNext/>
        <w:spacing w:after="40"/>
      </w:pPr>
      <w:r>
        <w:t>Document 30 of the Nexora learning guides</w:t>
      </w:r>
    </w:p>
    <w:p>
      <w:pPr/>
      <w:r>
        <w:t>Source snapshot 14 October 2026 at 06:41 UTC</w:t>
      </w:r>
    </w:p>
    <w:p>
      <w:pPr/>
      <w:r>
        <w:t>Understand the shared API, module boundaries, SQL contexts, migrations, health checks and Git maintenance.</w:t>
      </w:r>
    </w:p>
    <w:p>
      <w:pPr>
        <w:pStyle w:val="Heading2"/>
      </w:pPr>
      <w:r>
        <w:t>Recognise the screen and its scope</w:t>
      </w:r>
    </w:p>
    <w:p>
      <w:pPr/>
      <w:r>
        <w:t xml:space="preserve">Open </w:t>
      </w:r>
      <w:r>
        <w:rPr>
          <w:rFonts w:ascii="Consolas" w:hAnsi="Consolas"/>
          <w:sz w:val="19"/>
        </w:rPr>
        <w:t>/health</w:t>
      </w:r>
      <w:r>
        <w:t xml:space="preserve">, </w:t>
      </w:r>
      <w:r>
        <w:rPr>
          <w:rFonts w:ascii="Consolas" w:hAnsi="Consolas"/>
          <w:sz w:val="19"/>
        </w:rPr>
        <w:t>/health/ready</w:t>
      </w:r>
      <w:r>
        <w:t xml:space="preserve">, </w:t>
      </w:r>
      <w:r>
        <w:rPr>
          <w:rFonts w:ascii="Consolas" w:hAnsi="Consolas"/>
          <w:sz w:val="19"/>
        </w:rPr>
        <w:t>/api/v1/platform</w:t>
      </w:r>
      <w:r>
        <w:t>. CRM routes use port 3017; member routes use 3018; public website routes can use 3019. Brackets name a route parameter, not text to paste into a browser. Choose a real record or site id from the application.</w:t>
      </w:r>
    </w:p>
    <w:p>
      <w:pPr/>
      <w:r>
        <w:t>This guide covers Nine modules and shared BuildingBlocks; Nine database contexts; Identity CRM Membership Events Finance Engagement Work and Content schemas; Workflow context and schema; Per-context migration histories; Readiness cancellation logging testing and release runbook; Local Git and documentation updates.</w:t>
      </w:r>
    </w:p>
    <w:p>
      <w:pPr>
        <w:keepNext/>
        <w:jc w:val="center"/>
      </w:pPr>
      <w:r>
        <w:drawing>
          <wp:inline xmlns:a="http://schemas.openxmlformats.org/drawingml/2006/main" xmlns:pic="http://schemas.openxmlformats.org/drawingml/2006/picture">
            <wp:extent cx="6355080" cy="3301340"/>
            <wp:docPr id="1" name="Picture 1" descr="File journey for Nexora backend database and maintenance"/>
            <wp:cNvGraphicFramePr>
              <a:graphicFrameLocks noChangeAspect="1"/>
            </wp:cNvGraphicFramePr>
            <a:graphic>
              <a:graphicData uri="http://schemas.openxmlformats.org/drawingml/2006/picture">
                <pic:pic>
                  <pic:nvPicPr>
                    <pic:cNvPr id="0" name="guide-30-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Startup</w:t>
            </w:r>
          </w:p>
        </w:tc>
        <w:tc>
          <w:tcPr>
            <w:tcW w:type="dxa" w:w="4637"/>
            <w:vAlign w:val="center"/>
            <w:tcMar>
              <w:top w:w="70" w:type="dxa"/>
              <w:bottom w:w="70" w:type="dxa"/>
              <w:left w:w="85" w:type="dxa"/>
              <w:right w:w="85" w:type="dxa"/>
            </w:tcMar>
          </w:tcPr>
          <w:p>
            <w:pPr>
              <w:pStyle w:val="TableBody"/>
            </w:pPr>
            <w:r>
              <w:t>S0678 Prepare-LocalDebug.ps1</w:t>
            </w:r>
          </w:p>
        </w:tc>
        <w:tc>
          <w:tcPr>
            <w:tcW w:type="dxa" w:w="3528"/>
            <w:vAlign w:val="center"/>
            <w:tcMar>
              <w:top w:w="70" w:type="dxa"/>
              <w:bottom w:w="70" w:type="dxa"/>
              <w:left w:w="85" w:type="dxa"/>
              <w:right w:w="85" w:type="dxa"/>
            </w:tcMar>
          </w:tcPr>
          <w:p>
            <w:pPr>
              <w:pStyle w:val="TableBody"/>
            </w:pPr>
            <w:r>
              <w:t>Local service setup</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S0576 Program.cs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S0196 TenantDbContext.cs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Startup S0678</w:t>
      </w:r>
    </w:p>
    <w:p>
      <w:pPr/>
      <w:hyperlink r:id="rId11">
        <w:r>
          <w:rPr>
            <w:color w:val="263D55"/>
          </w:rPr>
          <w:t>scripts/Prepare-LocalDebug.ps1</w:t>
        </w:r>
      </w:hyperlink>
    </w:p>
    <w:p>
      <w:pPr>
        <w:keepNext/>
        <w:spacing w:after="40"/>
      </w:pPr>
      <w:r>
        <w:rPr>
          <w:b/>
        </w:rPr>
        <w:t>Server S0576</w:t>
      </w:r>
    </w:p>
    <w:p>
      <w:pPr/>
      <w:hyperlink r:id="rId12">
        <w:r>
          <w:rPr>
            <w:color w:val="263D55"/>
          </w:rPr>
          <w:t>backend/src/Nexora.Api/Program.cs</w:t>
        </w:r>
      </w:hyperlink>
    </w:p>
    <w:p>
      <w:pPr>
        <w:keepNext/>
        <w:spacing w:after="40"/>
      </w:pPr>
      <w:r>
        <w:rPr>
          <w:b/>
        </w:rPr>
        <w:t>Data S0196</w:t>
      </w:r>
    </w:p>
    <w:p>
      <w:pPr/>
      <w:hyperlink r:id="rId13">
        <w:r>
          <w:rPr>
            <w:color w:val="263D55"/>
          </w:rPr>
          <w:t>backend/src/BuildingBlocks/Nexora.BuildingBlocks/Persistence/TenantDbContext.cs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Program registers module services and their database contexts.</w:t>
      </w:r>
    </w:p>
    <w:p>
      <w:pPr/>
      <w:r>
        <w:t>2. Middleware applies errors, CORS, limits, authentication and authorisation.</w:t>
      </w:r>
    </w:p>
    <w:p>
      <w:pPr/>
      <w:r>
        <w:t>3. Each module maps endpoints and tenant-scoped persistence.</w:t>
      </w:r>
    </w:p>
    <w:p>
      <w:pPr/>
      <w:r>
        <w:t>4. Development startup and preparation manage the configured local database.</w:t>
      </w:r>
    </w:p>
    <w:p>
      <w:pPr/>
      <w:r>
        <w:t>5. Operational checks report health and readiness; reviewed release steps govern deployment.</w:t>
      </w:r>
    </w:p>
    <w:p>
      <w:pPr>
        <w:pStyle w:val="Heading2"/>
      </w:pPr>
      <w:r>
        <w:t>Read the code with an explanation</w:t>
      </w:r>
    </w:p>
    <w:p>
      <w:pPr/>
      <w:r>
        <w:t>A DbContext is a C# gateway to a group of tables. Different modules can use the same SQL database with separate schemas and migration histories. Identity plus eight business and Workflow contexts totals nine contexts in current source; read the generated context inventory for the exact names. Never apply one context's migration to another or drop a database to repair a missing table.</w:t>
      </w:r>
    </w:p>
    <w:p>
      <w:pPr>
        <w:pStyle w:val="GuideSmall"/>
        <w:keepNext/>
      </w:pPr>
      <w:r>
        <w:t>Source reference S0678 scripts/Prepare-LocalDebug.ps1</w:t>
      </w:r>
    </w:p>
    <w:p>
      <w:pPr/>
      <w:r>
        <w:t>Selected opening lines with their original numbers. The complete file is in the HTML source library.</w:t>
      </w:r>
    </w:p>
    <w:p>
      <w:pPr>
        <w:pStyle w:val="GuideCode"/>
        <w:keepNext/>
      </w:pPr>
      <w:r>
        <w:t>0001  param([switch]$WaitForApi)</w:t>
      </w:r>
    </w:p>
    <w:p>
      <w:pPr>
        <w:pStyle w:val="GuideCode"/>
        <w:keepNext/>
      </w:pPr>
      <w:r>
        <w:t>0002  $ErrorActionPreference = 'Stop'</w:t>
      </w:r>
    </w:p>
    <w:p>
      <w:pPr>
        <w:pStyle w:val="GuideCode"/>
      </w:pPr>
      <w:r>
        <w:t>0003  $root = Split-Path $PSScriptRoot -Parent</w:t>
      </w:r>
    </w:p>
    <w:p>
      <w:pPr>
        <w:pStyle w:val="GuideCode"/>
        <w:keepNext/>
      </w:pPr>
      <w:r>
        <w:t>0004  function Wait-NexoraApi {</w:t>
      </w:r>
    </w:p>
    <w:p>
      <w:pPr>
        <w:pStyle w:val="GuideCode"/>
        <w:keepNext/>
      </w:pPr>
      <w:r>
        <w:t>0005      param($StartedProcess)</w:t>
      </w:r>
    </w:p>
    <w:p>
      <w:pPr>
        <w:pStyle w:val="GuideCode"/>
        <w:keepNext w:val="0"/>
      </w:pPr>
      <w:r>
        <w:t>0006      $deadline = (Get-Date).AddSeconds(180)</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S0576 backend/src/Nexora.Api/Program.cs</w:t>
      </w:r>
    </w:p>
    <w:p>
      <w:pPr/>
      <w:r>
        <w:t>Extract from source line 83. A fragment from a long line is shown without the rest of that line.</w:t>
      </w:r>
    </w:p>
    <w:p>
      <w:pPr>
        <w:pStyle w:val="GuideCode"/>
        <w:keepNext w:val="0"/>
      </w:pPr>
      <w:r>
        <w:t>0083  app.MapGet("/api/v1/platform", () =&gt;</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S0196 backend/src/BuildingBlocks/Nexora.BuildingBlocks/Persistence/TenantDbContext.cs</w:t>
      </w:r>
    </w:p>
    <w:p>
      <w:pPr/>
      <w:r>
        <w:t>Selected opening lines with their original numbers. The complete file is in the HTML source library.</w:t>
      </w:r>
    </w:p>
    <w:p>
      <w:pPr>
        <w:pStyle w:val="GuideCode"/>
        <w:keepNext/>
      </w:pPr>
      <w:r>
        <w:t>0001  using Microsoft.EntityFrameworkCore;</w:t>
      </w:r>
    </w:p>
    <w:p>
      <w:pPr>
        <w:pStyle w:val="GuideCode"/>
        <w:keepNext/>
      </w:pPr>
      <w:r>
        <w:t>0002  using Microsoft.EntityFrameworkCore.ChangeTracking;</w:t>
      </w:r>
    </w:p>
    <w:p>
      <w:pPr>
        <w:pStyle w:val="GuideCode"/>
      </w:pPr>
      <w:r>
        <w:t>0003  using Microsoft.EntityFrameworkCore.Metadata.Builders;</w:t>
      </w:r>
    </w:p>
    <w:p>
      <w:pPr>
        <w:pStyle w:val="GuideCode"/>
        <w:keepNext/>
      </w:pPr>
      <w:r>
        <w:t>0004  using Microsoft.EntityFrameworkCore.Storage.ValueConversion;</w:t>
      </w:r>
    </w:p>
    <w:p>
      <w:pPr>
        <w:pStyle w:val="GuideCode"/>
        <w:keepNext/>
      </w:pPr>
      <w:r>
        <w:t>0005  using Nexora.BuildingBlocks.Domain;</w:t>
      </w:r>
    </w:p>
    <w:p>
      <w:pPr>
        <w:pStyle w:val="GuideCode"/>
        <w:keepNext w:val="0"/>
      </w:pPr>
      <w:r>
        <w:t>0006  using Nexora.BuildingBlocks.Security;</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2">
        <w:r>
          <w:rPr>
            <w:color w:val="263D55"/>
          </w:rPr>
          <w:t>backend/src/Nexora.Api/Program.cs</w:t>
        </w:r>
      </w:hyperlink>
      <w:r>
        <w:t>.</w:t>
      </w:r>
    </w:p>
    <w:p>
      <w:pPr/>
      <w:r>
        <w:t xml:space="preserve">2. Press Ctrl+F and search for </w:t>
      </w:r>
      <w:r>
        <w:rPr>
          <w:rFonts w:ascii="Consolas" w:hAnsi="Consolas"/>
          <w:sz w:val="19"/>
        </w:rPr>
        <w:t>AddNexora</w:t>
      </w:r>
      <w:r>
        <w:t>. In this snapshot it appears at line 28.</w:t>
      </w:r>
    </w:p>
    <w:p>
      <w:pPr/>
      <w:r>
        <w:t>3. Read-only exercise: list the registered modules, then find each DbContext. Compare the generated database inventory with the health/readiness checks. Follow the Git practice instructions using only your own documentation or text change.</w:t>
      </w:r>
    </w:p>
    <w:p>
      <w:pPr/>
      <w:r>
        <w:t>4. Record the file, request path and server handler you found. This exercise is read-only; no stored records need to change.</w:t>
      </w:r>
    </w:p>
    <w:p>
      <w:pPr/>
      <w:r>
        <w:t>Extract from source line 28. A fragment from a long line is shown without the rest of that line.</w:t>
      </w:r>
    </w:p>
    <w:p>
      <w:pPr>
        <w:pStyle w:val="GuideCode"/>
        <w:keepNext w:val="0"/>
      </w:pPr>
      <w:r>
        <w:t>0028  builder.Services.AddNexoraIdentity(builder.Configuration, builder.Environment.IsDevelopment());</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A successful build, a health response and production approval are different results. This manual records source coverage and documentation checks; it does not claim a full platform regression, live provider delivery, backups or production acceptance.</w:t>
      </w:r>
    </w:p>
    <w:p>
      <w:pPr>
        <w:pStyle w:val="Heading2"/>
      </w:pPr>
      <w:r>
        <w:t>Continue learning</w:t>
      </w:r>
    </w:p>
    <w:p>
      <w:pPr/>
      <w:r>
        <w:t xml:space="preserve">Related guides </w:t>
      </w:r>
      <w:hyperlink w:anchor="guide_02">
        <w:r>
          <w:rPr>
            <w:color w:val="263D55"/>
          </w:rPr>
          <w:t>02 Nexora platform setup and VS Code</w:t>
        </w:r>
      </w:hyperlink>
      <w:r>
        <w:t xml:space="preserve">, </w:t>
      </w:r>
      <w:hyperlink w:anchor="guide_18">
        <w:r>
          <w:rPr>
            <w:color w:val="263D55"/>
          </w:rPr>
          <w:t>18 Nexora imports exports and migration</w:t>
        </w:r>
      </w:hyperlink>
      <w:r>
        <w:t xml:space="preserve">, </w:t>
      </w:r>
      <w:hyperlink w:anchor="guide_20">
        <w:r>
          <w:rPr>
            <w:color w:val="263D55"/>
          </w:rPr>
          <w:t>20 Nexora administration and access</w:t>
        </w:r>
      </w:hyperlink>
      <w:r>
        <w:t xml:space="preserve">, </w:t>
      </w:r>
      <w:hyperlink w:anchor="guide_22">
        <w:r>
          <w:rPr>
            <w:color w:val="263D55"/>
          </w:rPr>
          <w:t>22 Nexora workflow designer and runtime</w:t>
        </w:r>
      </w:hyperlink>
      <w:r>
        <w:t xml:space="preserve">, </w:t>
      </w:r>
      <w:hyperlink w:anchor="guide_29">
        <w:r>
          <w:rPr>
            <w:color w:val="263D55"/>
          </w:rPr>
          <w:t>29 Nexora documents evidence and file safety</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D:/Projects new/Nexora/scripts/Prepare-LocalDebug.ps1" TargetMode="External"/><Relationship Id="rId12" Type="http://schemas.openxmlformats.org/officeDocument/2006/relationships/hyperlink" Target="D:/Projects new/Nexora/backend/src/Nexora.Api/Program.cs" TargetMode="External"/><Relationship Id="rId13" Type="http://schemas.openxmlformats.org/officeDocument/2006/relationships/hyperlink" Target="D:/Projects new/Nexora/backend/src/BuildingBlocks/Nexora.BuildingBlocks/Persistence/TenantDbContext.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backend database and maintenance</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