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Dash startup and dashboard</w:t>
      </w:r>
    </w:p>
    <w:p>
      <w:pPr>
        <w:keepNext/>
        <w:spacing w:after="40"/>
      </w:pPr>
      <w:r>
        <w:t>Document 31 of the Nexora learning guides</w:t>
      </w:r>
    </w:p>
    <w:p>
      <w:pPr/>
      <w:r>
        <w:t>Source snapshot 14 October 2026 at 06:41 UTC</w:t>
      </w:r>
    </w:p>
    <w:p>
      <w:pPr/>
      <w:r>
        <w:t>Run the local maintenance dashboard and understand how it connects to Nexora.</w:t>
      </w:r>
    </w:p>
    <w:p>
      <w:pPr>
        <w:pStyle w:val="Heading2"/>
      </w:pPr>
      <w:r>
        <w:t>Recognise the screen and its scope</w:t>
      </w:r>
    </w:p>
    <w:p>
      <w:pPr/>
      <w:r>
        <w:t xml:space="preserve">Open </w:t>
      </w:r>
      <w:r>
        <w:rPr>
          <w:rFonts w:ascii="Consolas" w:hAnsi="Consolas"/>
          <w:sz w:val="19"/>
        </w:rPr>
        <w:t>http://127.0.0.1:8000/#overview</w:t>
      </w:r>
      <w:r>
        <w:t>. Company Dash uses loopback port 8000 and hash navigation. Open its separate repository in VS Code before Ctrl+P. The source library uses company-dash as a project label, not a Nexora folder.</w:t>
      </w:r>
    </w:p>
    <w:p>
      <w:pPr/>
      <w:r>
        <w:t>This guide covers Local startup; Overview and navigation; Configuration diagnostics; Local request token; Separate repository and data.</w:t>
      </w:r>
    </w:p>
    <w:p>
      <w:pPr>
        <w:keepNext/>
        <w:jc w:val="center"/>
      </w:pPr>
      <w:r>
        <w:drawing>
          <wp:inline xmlns:a="http://schemas.openxmlformats.org/drawingml/2006/main" xmlns:pic="http://schemas.openxmlformats.org/drawingml/2006/picture">
            <wp:extent cx="6355080" cy="3301340"/>
            <wp:docPr id="1" name="Picture 1" descr="File journey for Company Dash startup and dashboard"/>
            <wp:cNvGraphicFramePr>
              <a:graphicFrameLocks noChangeAspect="1"/>
            </wp:cNvGraphicFramePr>
            <a:graphic>
              <a:graphicData uri="http://schemas.openxmlformats.org/drawingml/2006/picture">
                <pic:pic>
                  <pic:nvPicPr>
                    <pic:cNvPr id="0" name="guide-31-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S0698 index.html</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S0701 app.mjs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S0704 config.mjs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S0698</w:t>
      </w:r>
    </w:p>
    <w:p>
      <w:pPr/>
      <w:hyperlink r:id="rId11">
        <w:r>
          <w:rPr>
            <w:color w:val="263D55"/>
          </w:rPr>
          <w:t>public/index.html</w:t>
        </w:r>
      </w:hyperlink>
    </w:p>
    <w:p>
      <w:pPr>
        <w:keepNext/>
        <w:spacing w:after="40"/>
      </w:pPr>
      <w:r>
        <w:rPr>
          <w:b/>
        </w:rPr>
        <w:t>Server S0701</w:t>
      </w:r>
    </w:p>
    <w:p>
      <w:pPr/>
      <w:hyperlink r:id="rId12">
        <w:r>
          <w:rPr>
            <w:color w:val="263D55"/>
          </w:rPr>
          <w:t>server/app.mjs</w:t>
        </w:r>
      </w:hyperlink>
    </w:p>
    <w:p>
      <w:pPr>
        <w:keepNext/>
        <w:spacing w:after="40"/>
      </w:pPr>
      <w:r>
        <w:rPr>
          <w:b/>
        </w:rPr>
        <w:t>Data S0704</w:t>
      </w:r>
    </w:p>
    <w:p>
      <w:pPr/>
      <w:hyperlink r:id="rId13">
        <w:r>
          <w:rPr>
            <w:color w:val="263D55"/>
          </w:rPr>
          <w:t>server/config.mjs</w:t>
        </w:r>
      </w:hyperlink>
    </w:p>
    <w:p>
      <w:pPr/>
      <w:r>
        <w:t>Use the HTML source buttons for full files. Word shows labelled extracts; individual Markdown guides contain complete primary files.</w:t>
      </w:r>
    </w:p>
    <w:p>
      <w:pPr>
        <w:pStyle w:val="Heading2"/>
      </w:pPr>
      <w:r>
        <w:t>Follow the request and the records</w:t>
      </w:r>
    </w:p>
    <w:p>
      <w:pPr/>
      <w:r>
        <w:t>1. Open the Company Dash folder in its own VS Code window and run node server/main.mjs.</w:t>
      </w:r>
    </w:p>
    <w:p>
      <w:pPr/>
      <w:r>
        <w:t>2. The Node server serves public/index.html, app.js and styles.css on loopback port 8000.</w:t>
      </w:r>
    </w:p>
    <w:p>
      <w:pPr/>
      <w:r>
        <w:t>3. The browser gets a local request token from /api/session and sends X-Command-Token with API requests.</w:t>
      </w:r>
    </w:p>
    <w:p>
      <w:pPr/>
      <w:r>
        <w:t>4. GET /api/state returns repository, tasks, runs and provider status.</w:t>
      </w:r>
    </w:p>
    <w:p>
      <w:pPr/>
      <w:r>
        <w:t>5. The browser renders the selected view; the server keeps task history in its own SQLite database.</w:t>
      </w:r>
    </w:p>
    <w:p>
      <w:pPr>
        <w:pStyle w:val="Heading2"/>
      </w:pPr>
      <w:r>
        <w:t>Read the code with an explanation</w:t>
      </w:r>
    </w:p>
    <w:p>
      <w:pPr/>
      <w:r>
        <w:t>Company Dash is a separate Node.js application, not a Nexora API module. Its public folder is the frontend; server contains the backend. It needs Node 24 or newer for built-in SQLite and has no frontend build or npm dependencies. Run it from its own folder; opening index.html as a file will not provide its API. config.example.json shows safe defaults; local configuration and data stay private. The dashboard can inspect the Nexora checkout without becoming a runtime dependency of CRM, Portal or CMS.</w:t>
      </w:r>
    </w:p>
    <w:p>
      <w:pPr>
        <w:pStyle w:val="GuideSmall"/>
        <w:keepNext/>
      </w:pPr>
      <w:r>
        <w:t>Source reference S0698 company-dash/public/index.html</w:t>
      </w:r>
    </w:p>
    <w:p>
      <w:pPr/>
      <w:r>
        <w:t>Extract from source line 8. A fragment from a long line is shown without the rest of that line.</w:t>
      </w:r>
    </w:p>
    <w:p>
      <w:pPr>
        <w:pStyle w:val="GuideCode"/>
        <w:keepNext w:val="0"/>
      </w:pPr>
      <w:r>
        <w:t>0008      &lt;nav aria-label="Main navigation"&gt;</w:t>
      </w:r>
    </w:p>
    <w:p>
      <w:pPr>
        <w:spacing w:after="60"/>
      </w:pPr>
    </w:p>
    <w:p>
      <w:pPr/>
      <w:r>
        <w:t>index.html supplies markup and app.js renders browser views. Follow api() to the server route handler.</w:t>
      </w:r>
    </w:p>
    <w:p>
      <w:pPr>
        <w:pStyle w:val="GuideSmall"/>
        <w:keepNext/>
      </w:pPr>
      <w:r>
        <w:t>Source reference S0701 company-dash/server/app.mjs</w:t>
      </w:r>
    </w:p>
    <w:p>
      <w:pPr/>
      <w:r>
        <w:t>Extract from source line 23. A fragment from a long line is shown without the rest of that line.</w:t>
      </w:r>
    </w:p>
    <w:p>
      <w:pPr>
        <w:pStyle w:val="GuideCode"/>
        <w:keepNext w:val="0"/>
      </w:pPr>
      <w:r>
        <w:t>0023  export function createApp(config) {</w:t>
      </w:r>
    </w:p>
    <w:p>
      <w:pPr>
        <w:spacing w:after="60"/>
      </w:pPr>
    </w:p>
    <w:p>
      <w:pPr/>
      <w:r>
        <w:t>The browser api() helper sends a method and local request token. app.mjs checks the route and calls the relevant service. Follow that call to understand SQL writes, process execution and filesystem changes.</w:t>
      </w:r>
    </w:p>
    <w:p>
      <w:pPr>
        <w:pStyle w:val="GuideSmall"/>
        <w:keepNext/>
      </w:pPr>
      <w:r>
        <w:t>Source reference S0704 company-dash/server/config.mjs</w:t>
      </w:r>
    </w:p>
    <w:p>
      <w:pPr/>
      <w:r>
        <w:t>Selected opening lines with their original numbers. The complete file is in the HTML source library.</w:t>
      </w:r>
    </w:p>
    <w:p>
      <w:pPr>
        <w:pStyle w:val="GuideCode"/>
        <w:keepNext/>
      </w:pPr>
      <w:r>
        <w:t>0001  import fs from 'node:fs';</w:t>
      </w:r>
    </w:p>
    <w:p>
      <w:pPr>
        <w:pStyle w:val="GuideCode"/>
        <w:keepNext/>
      </w:pPr>
      <w:r>
        <w:t>0002  import path from 'node:path';</w:t>
      </w:r>
    </w:p>
    <w:p>
      <w:pPr>
        <w:pStyle w:val="GuideCode"/>
      </w:pPr>
      <w:r>
        <w:t>0003  import { fileURLToPath } from 'node:url';</w:t>
      </w:r>
    </w:p>
    <w:p>
      <w:pPr>
        <w:pStyle w:val="GuideCode"/>
        <w:keepNext/>
      </w:pPr>
      <w:r>
        <w:t>0004  import { resolveCodexPath } from './codex-path.mjs';</w:t>
      </w:r>
    </w:p>
    <w:p>
      <w:pPr>
        <w:pStyle w:val="GuideCode"/>
        <w:keepNext/>
      </w:pPr>
      <w:r>
        <w:t>0006  export const root = path.resolve(path.dirname(fileURLToPath(import.meta.url)), '..');</w:t>
      </w:r>
    </w:p>
    <w:p>
      <w:pPr>
        <w:pStyle w:val="GuideCode"/>
        <w:keepNext w:val="0"/>
      </w:pPr>
      <w:r>
        <w:t>0007  const local = path.join(root, 'config.local.json');</w:t>
      </w:r>
    </w:p>
    <w:p>
      <w:pPr>
        <w:spacing w:after="60"/>
      </w:pPr>
    </w:p>
    <w:p>
      <w:pPr/>
      <w:r>
        <w:t>store.mjs defines SQLite history tables. catalog.mjs and config.mjs define configuration; repository.mjs records fingerprints. Trace each key into its service before assuming it is a stored table.</w:t>
      </w:r>
    </w:p>
    <w:p>
      <w:pPr>
        <w:pStyle w:val="Heading2"/>
      </w:pPr>
      <w:r>
        <w:t>Make or trace your first change</w:t>
      </w:r>
    </w:p>
    <w:p>
      <w:pPr/>
      <w:r>
        <w:t xml:space="preserve">1. Press Ctrl+P and open </w:t>
      </w:r>
      <w:hyperlink r:id="rId11">
        <w:r>
          <w:rPr>
            <w:color w:val="263D55"/>
          </w:rPr>
          <w:t>public/index.html</w:t>
        </w:r>
      </w:hyperlink>
      <w:r>
        <w:t>.</w:t>
      </w:r>
    </w:p>
    <w:p>
      <w:pPr/>
      <w:r>
        <w:t xml:space="preserve">2. Press Ctrl+F and search for </w:t>
      </w:r>
      <w:r>
        <w:rPr>
          <w:rFonts w:ascii="Consolas" w:hAnsi="Consolas"/>
          <w:sz w:val="19"/>
        </w:rPr>
        <w:t>Work board&lt;span</w:t>
      </w:r>
      <w:r>
        <w:t>. In this snapshot it appears at line 10.</w:t>
      </w:r>
    </w:p>
    <w:p>
      <w:pPr/>
      <w:r>
        <w:t>3. Change the sidebar wording only, keeping the href, data-view and span intact. Refresh Company Dash and confirm the same work view opens. Restore the text after practising.</w:t>
      </w:r>
    </w:p>
    <w:p>
      <w:pPr/>
      <w:r>
        <w:t xml:space="preserve">4. Replace only </w:t>
      </w:r>
      <w:r>
        <w:rPr>
          <w:rFonts w:ascii="Consolas" w:hAnsi="Consolas"/>
          <w:sz w:val="19"/>
        </w:rPr>
        <w:t>Work board&lt;span</w:t>
      </w:r>
      <w:r>
        <w:t xml:space="preserve"> with </w:t>
      </w:r>
      <w:r>
        <w:rPr>
          <w:rFonts w:ascii="Consolas" w:hAnsi="Consolas"/>
          <w:sz w:val="19"/>
        </w:rPr>
        <w:t>Work requests&lt;span</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 A fragment from a long line is shown without the rest of that line.</w:t>
      </w:r>
    </w:p>
    <w:p>
      <w:pPr>
        <w:pStyle w:val="GuideCode"/>
        <w:keepNext w:val="0"/>
      </w:pPr>
      <w:r>
        <w:t>0010        &lt;a href="#work" data-view="work"&gt;&lt;span class="nav-icon"&gt;▤&lt;/span&gt;Work board&lt;span id="work-count" class="nav-count"&gt;0&lt;/span&gt;&lt;/a&gt;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dashboard is local and single-user. Its request token and Host/Origin checks are not public multi-user authentication. Documentation capture does not start the dashboard, run an agent or change task history.</w:t>
      </w:r>
    </w:p>
    <w:p>
      <w:pPr>
        <w:pStyle w:val="Heading2"/>
      </w:pPr>
      <w:r>
        <w:t>Continue learning</w:t>
      </w:r>
    </w:p>
    <w:p>
      <w:pPr/>
      <w:r>
        <w:t xml:space="preserve">Related guides </w:t>
      </w:r>
      <w:hyperlink w:anchor="guide_02">
        <w:r>
          <w:rPr>
            <w:color w:val="263D55"/>
          </w:rPr>
          <w:t>02 Nexora platform setup and VS Code</w:t>
        </w:r>
      </w:hyperlink>
      <w:r>
        <w:t xml:space="preserve">, </w:t>
      </w:r>
      <w:hyperlink w:anchor="guide_32">
        <w:r>
          <w:rPr>
            <w:color w:val="263D55"/>
          </w:rPr>
          <w:t>32 Company Dash repository and source viewer</w:t>
        </w:r>
      </w:hyperlink>
      <w:r>
        <w:t xml:space="preserve">, </w:t>
      </w:r>
      <w:hyperlink w:anchor="guide_33">
        <w:r>
          <w:rPr>
            <w:color w:val="263D55"/>
          </w:rPr>
          <w:t>33 Company Dash tasks agents and handoffs</w:t>
        </w:r>
      </w:hyperlink>
      <w:r>
        <w:t xml:space="preserve">, </w:t>
      </w:r>
      <w:hyperlink w:anchor="guide_36">
        <w:r>
          <w:rPr>
            <w:color w:val="263D55"/>
          </w:rPr>
          <w:t>36 Company Dash history backups and settings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C:/Users/ramish/Documents/ChatGPT/Company Dash/public/index.html" TargetMode="External"/><Relationship Id="rId12" Type="http://schemas.openxmlformats.org/officeDocument/2006/relationships/hyperlink" Target="C:/Users/ramish/Documents/ChatGPT/Company Dash/server/app.mjs" TargetMode="External"/><Relationship Id="rId13" Type="http://schemas.openxmlformats.org/officeDocument/2006/relationships/hyperlink" Target="C:/Users/ramish/Documents/ChatGPT/Company Dash/server/config.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Dash startup and dashboard</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