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Dash tasks agents and handoffs</w:t>
      </w:r>
    </w:p>
    <w:p>
      <w:pPr>
        <w:keepNext/>
        <w:spacing w:after="40"/>
      </w:pPr>
      <w:r>
        <w:t>Document 33 of the Nexora learning guides</w:t>
      </w:r>
    </w:p>
    <w:p>
      <w:pPr/>
      <w:r>
        <w:t>Source snapshot 14 October 2026 at 06:41 UTC</w:t>
      </w:r>
    </w:p>
    <w:p>
      <w:pPr/>
      <w:r>
        <w:t>Follow a request from its form through a specialist run and a reviewed handoff.</w:t>
      </w:r>
    </w:p>
    <w:p>
      <w:pPr>
        <w:pStyle w:val="Heading2"/>
      </w:pPr>
      <w:r>
        <w:t>Recognise the screen and its scope</w:t>
      </w:r>
    </w:p>
    <w:p>
      <w:pPr/>
      <w:r>
        <w:t xml:space="preserve">Open </w:t>
      </w:r>
      <w:r>
        <w:rPr>
          <w:rFonts w:ascii="Consolas" w:hAnsi="Consolas"/>
          <w:sz w:val="19"/>
        </w:rPr>
        <w:t>http://127.0.0.1:8000/#work</w:t>
      </w:r>
      <w:r>
        <w:t xml:space="preserve">, </w:t>
      </w:r>
      <w:r>
        <w:rPr>
          <w:rFonts w:ascii="Consolas" w:hAnsi="Consolas"/>
          <w:sz w:val="19"/>
        </w:rPr>
        <w:t>http://127.0.0.1:8000/#agents</w:t>
      </w:r>
      <w:r>
        <w:t>. Company Dash uses loopback port 8000 and hash navigation. Open its separate repository in VS Code before Ctrl+P. The source library uses company-dash as a project label, not a Nexora folder.</w:t>
      </w:r>
    </w:p>
    <w:p>
      <w:pPr/>
      <w:r>
        <w:t>This guide covers Work board and filters; Six specialist roles; Linked workflows; Conversations and reports; Queued runs cancellation and restart recovery.</w:t>
      </w:r>
    </w:p>
    <w:p>
      <w:pPr>
        <w:keepNext/>
        <w:jc w:val="center"/>
      </w:pPr>
      <w:r>
        <w:drawing>
          <wp:inline xmlns:a="http://schemas.openxmlformats.org/drawingml/2006/main" xmlns:pic="http://schemas.openxmlformats.org/drawingml/2006/picture">
            <wp:extent cx="6355080" cy="3301340"/>
            <wp:docPr id="1" name="Picture 1" descr="File journey for Company Dash tasks agents and handoffs"/>
            <wp:cNvGraphicFramePr>
              <a:graphicFrameLocks noChangeAspect="1"/>
            </wp:cNvGraphicFramePr>
            <a:graphic>
              <a:graphicData uri="http://schemas.openxmlformats.org/drawingml/2006/picture">
                <pic:pic>
                  <pic:nvPicPr>
                    <pic:cNvPr id="0" name="guide-33-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S0696 app.js</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S0710 runner.mjs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S0711 store.mjs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S0696</w:t>
      </w:r>
    </w:p>
    <w:p>
      <w:pPr/>
      <w:hyperlink r:id="rId11">
        <w:r>
          <w:rPr>
            <w:color w:val="263D55"/>
          </w:rPr>
          <w:t>public/app.js</w:t>
        </w:r>
      </w:hyperlink>
    </w:p>
    <w:p>
      <w:pPr>
        <w:keepNext/>
        <w:spacing w:after="40"/>
      </w:pPr>
      <w:r>
        <w:rPr>
          <w:b/>
        </w:rPr>
        <w:t>Server S0710</w:t>
      </w:r>
    </w:p>
    <w:p>
      <w:pPr/>
      <w:hyperlink r:id="rId12">
        <w:r>
          <w:rPr>
            <w:color w:val="263D55"/>
          </w:rPr>
          <w:t>server/runner.mjs</w:t>
        </w:r>
      </w:hyperlink>
    </w:p>
    <w:p>
      <w:pPr>
        <w:keepNext/>
        <w:spacing w:after="40"/>
      </w:pPr>
      <w:r>
        <w:rPr>
          <w:b/>
        </w:rPr>
        <w:t>Data S0711</w:t>
      </w:r>
    </w:p>
    <w:p>
      <w:pPr/>
      <w:hyperlink r:id="rId13">
        <w:r>
          <w:rPr>
            <w:color w:val="263D55"/>
          </w:rPr>
          <w:t>server/store.mjs</w:t>
        </w:r>
      </w:hyperlink>
    </w:p>
    <w:p>
      <w:pPr/>
      <w:r>
        <w:t>Use the HTML source buttons for full files. Word shows labelled extracts; individual Markdown guides contain complete primary files.</w:t>
      </w:r>
    </w:p>
    <w:p>
      <w:pPr>
        <w:pStyle w:val="Heading2"/>
      </w:pPr>
      <w:r>
        <w:t>Follow the request and the records</w:t>
      </w:r>
    </w:p>
    <w:p>
      <w:pPr/>
      <w:r>
        <w:t>1. The request form sends title, description, agent, area, priority and workflow choice to POST /api/tasks.</w:t>
      </w:r>
    </w:p>
    <w:p>
      <w:pPr/>
      <w:r>
        <w:t>2. The server validates the fields and stores tasks and initial messages in a SQLite transaction.</w:t>
      </w:r>
    </w:p>
    <w:p>
      <w:pPr/>
      <w:r>
        <w:t>3. A linked workflow creates dependent tasks; each waits for the previous accepted handoff.</w:t>
      </w:r>
    </w:p>
    <w:p>
      <w:pPr/>
      <w:r>
        <w:t>4. Starting a role queues a serial run in an isolated source workspace and stores logs and artifacts.</w:t>
      </w:r>
    </w:p>
    <w:p>
      <w:pPr/>
      <w:r>
        <w:t>5. The operator reviews a structured report, requests revision or accepts the handoff to unlock the next role.</w:t>
      </w:r>
    </w:p>
    <w:p>
      <w:pPr>
        <w:pStyle w:val="Heading2"/>
      </w:pPr>
      <w:r>
        <w:t>Read the code with an explanation</w:t>
      </w:r>
    </w:p>
    <w:p>
      <w:pPr/>
      <w:r>
        <w:t>The six roles are PM, BA, CRM Developer, Portal Developer, QA and Nexora Support Agent; catalog.mjs defines their names and instructions. PM, BA and Support use read-only execution, while Developer and QA write inside their isolated workspaces. Support defaults to standalone triage. Selecting a linked workflow creates a fixed sequence, not autonomous planning or automatic execution. store.mjs creates tasks, messages, runs, artifacts, events and metadata tables. A report in review is distinct from an accepted task, a passed test or applied code.</w:t>
      </w:r>
    </w:p>
    <w:p>
      <w:pPr>
        <w:pStyle w:val="GuideSmall"/>
        <w:keepNext/>
      </w:pPr>
      <w:r>
        <w:t>Source reference S0696 company-dash/public/app.js</w:t>
      </w:r>
    </w:p>
    <w:p>
      <w:pPr/>
      <w:r>
        <w:t>Extract from source line 47. A fragment from a long line is shown without the rest of that line.</w:t>
      </w:r>
    </w:p>
    <w:p>
      <w:pPr>
        <w:pStyle w:val="GuideCode"/>
        <w:keepNext w:val="0"/>
      </w:pPr>
      <w:r>
        <w:t>0047  function work() {</w:t>
      </w:r>
    </w:p>
    <w:p>
      <w:pPr>
        <w:spacing w:after="60"/>
      </w:pPr>
    </w:p>
    <w:p>
      <w:pPr/>
      <w:r>
        <w:t>index.html supplies markup and app.js renders browser views. Follow api() to the server route handler.</w:t>
      </w:r>
    </w:p>
    <w:p>
      <w:pPr>
        <w:pStyle w:val="GuideSmall"/>
        <w:keepNext/>
      </w:pPr>
      <w:r>
        <w:t>Source reference S0710 company-dash/server/runner.mjs</w:t>
      </w:r>
    </w:p>
    <w:p>
      <w:pPr/>
      <w:r>
        <w:t>Extract from source line 42. A fragment from a long line is shown without the rest of that line.</w:t>
      </w:r>
    </w:p>
    <w:p>
      <w:pPr>
        <w:pStyle w:val="GuideCode"/>
        <w:keepNext w:val="0"/>
      </w:pPr>
      <w:r>
        <w:t>0042    enqueue({ task, suite, targetTask, prepareRuntime = task?.agent === 'qa' }) {</w:t>
      </w:r>
    </w:p>
    <w:p>
      <w:pPr>
        <w:spacing w:after="60"/>
      </w:pPr>
    </w:p>
    <w:p>
      <w:pPr/>
      <w:r>
        <w:t>The browser api() helper sends a method and local request token. app.mjs checks the route and calls the relevant service. Follow that call to understand SQL writes, process execution and filesystem changes.</w:t>
      </w:r>
    </w:p>
    <w:p>
      <w:pPr>
        <w:pStyle w:val="GuideSmall"/>
        <w:keepNext/>
      </w:pPr>
      <w:r>
        <w:t>Source reference S0711 company-dash/server/store.mjs</w:t>
      </w:r>
    </w:p>
    <w:p>
      <w:pPr/>
      <w:r>
        <w:t>Selected opening lines with their original numbers. The complete file is in the HTML source library.</w:t>
      </w:r>
    </w:p>
    <w:p>
      <w:pPr>
        <w:pStyle w:val="GuideCode"/>
        <w:keepNext/>
      </w:pPr>
      <w:r>
        <w:t>0001  import { DatabaseSync } from 'node:sqlite';</w:t>
      </w:r>
    </w:p>
    <w:p>
      <w:pPr>
        <w:pStyle w:val="GuideCode"/>
        <w:keepNext/>
      </w:pPr>
      <w:r>
        <w:t>0002  import fs from 'node:fs';</w:t>
      </w:r>
    </w:p>
    <w:p>
      <w:pPr>
        <w:pStyle w:val="GuideCode"/>
      </w:pPr>
      <w:r>
        <w:t>0003  import path from 'node:path';</w:t>
      </w:r>
    </w:p>
    <w:p>
      <w:pPr>
        <w:pStyle w:val="GuideCode"/>
        <w:keepNext/>
      </w:pPr>
      <w:r>
        <w:t>0004  import { randomUUID } from 'node:crypto';</w:t>
      </w:r>
    </w:p>
    <w:p>
      <w:pPr>
        <w:pStyle w:val="GuideCode"/>
        <w:keepNext/>
      </w:pPr>
      <w:r>
        <w:t>0005  import { usageParser } from './usage.mjs';</w:t>
      </w:r>
    </w:p>
    <w:p>
      <w:pPr>
        <w:pStyle w:val="GuideCode"/>
        <w:keepNext w:val="0"/>
      </w:pPr>
      <w:r>
        <w:t>0007  export const now = () =&gt; new Date().toISOString();</w:t>
      </w:r>
    </w:p>
    <w:p>
      <w:pPr>
        <w:spacing w:after="60"/>
      </w:pPr>
    </w:p>
    <w:p>
      <w:pPr/>
      <w:r>
        <w:t>store.mjs defines SQLite history tables. catalog.mjs and config.mjs define configuration; repository.mjs records fingerprints. Trace each key into its service before assuming it is a stored table.</w:t>
      </w:r>
    </w:p>
    <w:p>
      <w:pPr>
        <w:pStyle w:val="Heading2"/>
      </w:pPr>
      <w:r>
        <w:t>Make or trace your first change</w:t>
      </w:r>
    </w:p>
    <w:p>
      <w:pPr/>
      <w:r>
        <w:t xml:space="preserve">1. Press Ctrl+P and open </w:t>
      </w:r>
      <w:hyperlink r:id="rId11">
        <w:r>
          <w:rPr>
            <w:color w:val="263D55"/>
          </w:rPr>
          <w:t>public/app.js</w:t>
        </w:r>
      </w:hyperlink>
      <w:r>
        <w:t>.</w:t>
      </w:r>
    </w:p>
    <w:p>
      <w:pPr/>
      <w:r>
        <w:t xml:space="preserve">2. Press Ctrl+F and search for </w:t>
      </w:r>
      <w:r>
        <w:rPr>
          <w:rFonts w:ascii="Consolas" w:hAnsi="Consolas"/>
          <w:sz w:val="19"/>
        </w:rPr>
        <w:t>function updateWorkflow()</w:t>
      </w:r>
      <w:r>
        <w:t>. In this snapshot it appears at line 84.</w:t>
      </w:r>
    </w:p>
    <w:p>
      <w:pPr/>
      <w:r>
        <w:t>3. Read-only exercise: find which roles can create a workflow and why Support starts with it unchecked. Trace Accept handoff to the server and identify the dependent-task update without clicking it.</w:t>
      </w:r>
    </w:p>
    <w:p>
      <w:pPr/>
      <w:r>
        <w:t>4. Record the file, request path and server handler you found. This exercise is read-only; no stored records need to change.</w:t>
      </w:r>
    </w:p>
    <w:p>
      <w:pPr/>
      <w:r>
        <w:t>Extract from source line 84. A fragment from a long line is shown without the rest of that line.</w:t>
      </w:r>
    </w:p>
    <w:p>
      <w:pPr>
        <w:pStyle w:val="GuideCode"/>
        <w:keepNext w:val="0"/>
      </w:pPr>
      <w:r>
        <w:t>0084  function updateWorkflow() { const eligible=['pm','ba','support'].inclu</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Agent runs use the signed-in Codex provider and account limits. They may be blocked by missing dependencies or usage limits. Restarted unfinished runs are marked interrupted; inspect their logs before retrying. This chapter exercise creates no real tasks or customer messages.</w:t>
      </w:r>
    </w:p>
    <w:p>
      <w:pPr>
        <w:pStyle w:val="Heading2"/>
      </w:pPr>
      <w:r>
        <w:t>Continue learning</w:t>
      </w:r>
    </w:p>
    <w:p>
      <w:pPr/>
      <w:r>
        <w:t xml:space="preserve">Related guides </w:t>
      </w:r>
      <w:hyperlink w:anchor="guide_32">
        <w:r>
          <w:rPr>
            <w:color w:val="263D55"/>
          </w:rPr>
          <w:t>32 Company Dash repository and source viewer</w:t>
        </w:r>
      </w:hyperlink>
      <w:r>
        <w:t xml:space="preserve">, </w:t>
      </w:r>
      <w:hyperlink w:anchor="guide_34">
        <w:r>
          <w:rPr>
            <w:color w:val="263D55"/>
          </w:rPr>
          <w:t>34 Company Dash QA and verification</w:t>
        </w:r>
      </w:hyperlink>
      <w:r>
        <w:t xml:space="preserve">, </w:t>
      </w:r>
      <w:hyperlink w:anchor="guide_35">
        <w:r>
          <w:rPr>
            <w:color w:val="263D55"/>
          </w:rPr>
          <w:t>35 Company Dash proposal review and integration</w:t>
        </w:r>
      </w:hyperlink>
      <w:r>
        <w:t xml:space="preserve">, </w:t>
      </w:r>
      <w:hyperlink w:anchor="guide_36">
        <w:r>
          <w:rPr>
            <w:color w:val="263D55"/>
          </w:rPr>
          <w:t>36 Company Dash history backups and settings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C:/Users/ramish/Documents/ChatGPT/Company Dash/public/app.js" TargetMode="External"/><Relationship Id="rId12" Type="http://schemas.openxmlformats.org/officeDocument/2006/relationships/hyperlink" Target="C:/Users/ramish/Documents/ChatGPT/Company Dash/server/runner.mjs" TargetMode="External"/><Relationship Id="rId13" Type="http://schemas.openxmlformats.org/officeDocument/2006/relationships/hyperlink" Target="C:/Users/ramish/Documents/ChatGPT/Company Dash/server/store.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Dash tasks agents and handoffs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