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Dash QA and verification</w:t>
      </w:r>
    </w:p>
    <w:p>
      <w:pPr>
        <w:keepNext/>
        <w:spacing w:after="40"/>
      </w:pPr>
      <w:r>
        <w:t>Document 34 of the Nexora learning guides</w:t>
      </w:r>
    </w:p>
    <w:p>
      <w:pPr/>
      <w:r>
        <w:t>Source snapshot 14 October 2026 at 06:41 UTC</w:t>
      </w:r>
    </w:p>
    <w:p>
      <w:pPr/>
      <w:r>
        <w:t>Read checkout and proposal verification evidence and diagnose blocked runtime preparation.</w:t>
      </w:r>
    </w:p>
    <w:p>
      <w:pPr>
        <w:pStyle w:val="Heading2"/>
      </w:pPr>
      <w:r>
        <w:t>Recognise the screen and its scope</w:t>
      </w:r>
    </w:p>
    <w:p>
      <w:pPr/>
      <w:r>
        <w:t xml:space="preserve">Open </w:t>
      </w:r>
      <w:r>
        <w:rPr>
          <w:rFonts w:ascii="Consolas" w:hAnsi="Consolas"/>
          <w:sz w:val="19"/>
        </w:rPr>
        <w:t>http://127.0.0.1:8000/#qa</w:t>
      </w:r>
      <w:r>
        <w:t>. Company Dash uses loopback port 8000 and hash navigation. Open its separate repository in VS Code before Ctrl+P. The source library uses company-dash as a project label, not a Nexora folder.</w:t>
      </w:r>
    </w:p>
    <w:p>
      <w:pPr/>
      <w:r>
        <w:t>This guide covers Fixed test suites; Checkout and proposal scope; Prepare test dependencies; Actual process logs; Structured reports and blocked runs.</w:t>
      </w:r>
    </w:p>
    <w:p>
      <w:pPr>
        <w:keepNext/>
        <w:jc w:val="center"/>
      </w:pPr>
      <w:r>
        <w:drawing>
          <wp:inline xmlns:a="http://schemas.openxmlformats.org/drawingml/2006/main" xmlns:pic="http://schemas.openxmlformats.org/drawingml/2006/picture">
            <wp:extent cx="6355080" cy="3301340"/>
            <wp:docPr id="1" name="Picture 1" descr="File journey for Company Dash QA and verification"/>
            <wp:cNvGraphicFramePr>
              <a:graphicFrameLocks noChangeAspect="1"/>
            </wp:cNvGraphicFramePr>
            <a:graphic>
              <a:graphicData uri="http://schemas.openxmlformats.org/drawingml/2006/picture">
                <pic:pic>
                  <pic:nvPicPr>
                    <pic:cNvPr id="0" name="guide-34-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S0696 app.js</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S0710 runner.mjs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S0702 catalog.mjs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S0696</w:t>
      </w:r>
    </w:p>
    <w:p>
      <w:pPr/>
      <w:hyperlink r:id="rId11">
        <w:r>
          <w:rPr>
            <w:color w:val="263D55"/>
          </w:rPr>
          <w:t>public/app.js</w:t>
        </w:r>
      </w:hyperlink>
    </w:p>
    <w:p>
      <w:pPr>
        <w:keepNext/>
        <w:spacing w:after="40"/>
      </w:pPr>
      <w:r>
        <w:rPr>
          <w:b/>
        </w:rPr>
        <w:t>Server S0710</w:t>
      </w:r>
    </w:p>
    <w:p>
      <w:pPr/>
      <w:hyperlink r:id="rId12">
        <w:r>
          <w:rPr>
            <w:color w:val="263D55"/>
          </w:rPr>
          <w:t>server/runner.mjs</w:t>
        </w:r>
      </w:hyperlink>
    </w:p>
    <w:p>
      <w:pPr>
        <w:keepNext/>
        <w:spacing w:after="40"/>
      </w:pPr>
      <w:r>
        <w:rPr>
          <w:b/>
        </w:rPr>
        <w:t>Data S0702</w:t>
      </w:r>
    </w:p>
    <w:p>
      <w:pPr/>
      <w:hyperlink r:id="rId13">
        <w:r>
          <w:rPr>
            <w:color w:val="263D55"/>
          </w:rPr>
          <w:t>server/catalog.mjs</w:t>
        </w:r>
      </w:hyperlink>
    </w:p>
    <w:p>
      <w:pPr/>
      <w:r>
        <w:t>Use the HTML source buttons for full files. Word shows labelled extracts; individual Markdown guides contain complete primary files.</w:t>
      </w:r>
    </w:p>
    <w:p>
      <w:pPr>
        <w:pStyle w:val="Heading2"/>
      </w:pPr>
      <w:r>
        <w:t>Follow the request and the records</w:t>
      </w:r>
    </w:p>
    <w:p>
      <w:pPr/>
      <w:r>
        <w:t>1. QA and verification shows fixed suites supplied by catalog.mjs.</w:t>
      </w:r>
    </w:p>
    <w:p>
      <w:pPr/>
      <w:r>
        <w:t>2. POST /api/qa/run validates the suite and optionally a proposal task id.</w:t>
      </w:r>
    </w:p>
    <w:p>
      <w:pPr/>
      <w:r>
        <w:t>3. The runner chooses the original checkout or a separate proposal verification copy.</w:t>
      </w:r>
    </w:p>
    <w:p>
      <w:pPr/>
      <w:r>
        <w:t>4. QA-agent runtime preparation restores .NET packages and locked frontend packages before model execution.</w:t>
      </w:r>
    </w:p>
    <w:p>
      <w:pPr/>
      <w:r>
        <w:t>5. Logs, exit codes and structured status/report data identify passed, failed, cancelled or blocked work.</w:t>
      </w:r>
    </w:p>
    <w:p>
      <w:pPr>
        <w:pStyle w:val="Heading2"/>
      </w:pPr>
      <w:r>
        <w:t>Read the code with an explanation</w:t>
      </w:r>
    </w:p>
    <w:p>
      <w:pPr/>
      <w:r>
        <w:t>A checkout check evaluates the original Nexora source. Test this proposal evaluates an independent source copy associated with a task. Prepare test dependencies is a QA-agent option; setup success does not mean tests passed. If .NET assets or Playwright are missing, read the preparation log and structured blocked result. The runner must parse the model output status and report as well as the process exit code. catalog.mjs records allowed commands and timeouts rather than accepting arbitrary commands from a browser form.</w:t>
      </w:r>
    </w:p>
    <w:p>
      <w:pPr>
        <w:pStyle w:val="GuideSmall"/>
        <w:keepNext/>
      </w:pPr>
      <w:r>
        <w:t>Source reference S0696 company-dash/public/app.js</w:t>
      </w:r>
    </w:p>
    <w:p>
      <w:pPr/>
      <w:r>
        <w:t>Extract from source line 53. A fragment from a long line is shown without the rest of that line.</w:t>
      </w:r>
    </w:p>
    <w:p>
      <w:pPr>
        <w:pStyle w:val="GuideCode"/>
        <w:keepNext w:val="0"/>
      </w:pPr>
      <w:r>
        <w:t>0053  function qaView() {</w:t>
      </w:r>
    </w:p>
    <w:p>
      <w:pPr>
        <w:spacing w:after="60"/>
      </w:pPr>
    </w:p>
    <w:p>
      <w:pPr/>
      <w:r>
        <w:t>index.html supplies markup and app.js renders browser views. Follow api() to the server route handler.</w:t>
      </w:r>
    </w:p>
    <w:p>
      <w:pPr>
        <w:pStyle w:val="GuideSmall"/>
        <w:keepNext/>
      </w:pPr>
      <w:r>
        <w:t>Source reference S0710 company-dash/server/runner.mjs</w:t>
      </w:r>
    </w:p>
    <w:p>
      <w:pPr/>
      <w:r>
        <w:t>Extract from source line 92. A fragment from a long line is shown without the rest of that line.</w:t>
      </w:r>
    </w:p>
    <w:p>
      <w:pPr>
        <w:pStyle w:val="GuideCode"/>
        <w:keepNext w:val="0"/>
      </w:pPr>
      <w:r>
        <w:t>0092    async prepareQaRuntime(run, cwd) {</w:t>
      </w:r>
    </w:p>
    <w:p>
      <w:pPr>
        <w:spacing w:after="60"/>
      </w:pPr>
    </w:p>
    <w:p>
      <w:pPr/>
      <w:r>
        <w:t>The browser api() helper sends a method and local request token. app.mjs checks the route and calls the relevant service. Follow that call to understand SQL writes, process execution and filesystem changes.</w:t>
      </w:r>
    </w:p>
    <w:p>
      <w:pPr>
        <w:pStyle w:val="GuideSmall"/>
        <w:keepNext/>
      </w:pPr>
      <w:r>
        <w:t>Source reference S0702 company-dash/server/catalog.mjs</w:t>
      </w:r>
    </w:p>
    <w:p>
      <w:pPr/>
      <w:r>
        <w:t>Selected opening lines with their original numbers. The complete file is in the HTML source library.</w:t>
      </w:r>
    </w:p>
    <w:p>
      <w:pPr>
        <w:pStyle w:val="GuideCode"/>
        <w:keepNext/>
      </w:pPr>
      <w:r>
        <w:t>0001  export const areas = ['All Nexora', 'CRM', 'Portal', 'Website / CMS', 'Platform'];</w:t>
      </w:r>
    </w:p>
    <w:p>
      <w:pPr>
        <w:pStyle w:val="GuideCode"/>
        <w:keepNext/>
      </w:pPr>
      <w:r>
        <w:t>0002  export const agents = [</w:t>
      </w:r>
    </w:p>
    <w:p>
      <w:pPr>
        <w:pStyle w:val="GuideCode"/>
        <w:keepNext/>
      </w:pPr>
      <w:r>
        <w:t>0009  ];</w:t>
      </w:r>
    </w:p>
    <w:p>
      <w:pPr>
        <w:pStyle w:val="GuideCode"/>
        <w:keepNext/>
      </w:pPr>
      <w:r>
        <w:t>0010  export const suites = [</w:t>
      </w:r>
    </w:p>
    <w:p>
      <w:pPr>
        <w:pStyle w:val="GuideCode"/>
        <w:keepNext w:val="0"/>
      </w:pPr>
      <w:r>
        <w:t>0017  ];</w:t>
      </w:r>
    </w:p>
    <w:p>
      <w:pPr>
        <w:spacing w:after="60"/>
      </w:pPr>
    </w:p>
    <w:p>
      <w:pPr/>
      <w:r>
        <w:t>store.mjs defines SQLite history tables. catalog.mjs and config.mjs define configuration; repository.mjs records fingerprints. Trace each key into its service before assuming it is a stored table.</w:t>
      </w:r>
    </w:p>
    <w:p>
      <w:pPr>
        <w:pStyle w:val="Heading2"/>
      </w:pPr>
      <w:r>
        <w:t>Make or trace your first change</w:t>
      </w:r>
    </w:p>
    <w:p>
      <w:pPr/>
      <w:r>
        <w:t xml:space="preserve">1. Press Ctrl+P and open </w:t>
      </w:r>
      <w:hyperlink r:id="rId12">
        <w:r>
          <w:rPr>
            <w:color w:val="263D55"/>
          </w:rPr>
          <w:t>server/runner.mjs</w:t>
        </w:r>
      </w:hyperlink>
      <w:r>
        <w:t>.</w:t>
      </w:r>
    </w:p>
    <w:p>
      <w:pPr/>
      <w:r>
        <w:t xml:space="preserve">2. Press Ctrl+F and search for </w:t>
      </w:r>
      <w:r>
        <w:rPr>
          <w:rFonts w:ascii="Consolas" w:hAnsi="Consolas"/>
          <w:sz w:val="19"/>
        </w:rPr>
        <w:t>prepareRuntime</w:t>
      </w:r>
      <w:r>
        <w:t>. In this snapshot it appears at line 42.</w:t>
      </w:r>
    </w:p>
    <w:p>
      <w:pPr/>
      <w:r>
        <w:t>3. Read-only exercise: trace prepareRuntime from enqueue to dependency setup. Find where setup failure prevents model execution, then compare a structured report with a process exit code.</w:t>
      </w:r>
    </w:p>
    <w:p>
      <w:pPr/>
      <w:r>
        <w:t>4. Record the file, request path and server handler you found. This exercise is read-only; no stored records need to change.</w:t>
      </w:r>
    </w:p>
    <w:p>
      <w:pPr/>
      <w:r>
        <w:t>Extract from source line 42. A fragment from a long line is shown without the rest of that line.</w:t>
      </w:r>
    </w:p>
    <w:p>
      <w:pPr>
        <w:pStyle w:val="GuideCode"/>
        <w:keepNext w:val="0"/>
      </w:pPr>
      <w:r>
        <w:t>0042    enqueue({ task, suite, targetTask, prepareRuntime = task?.agent === 'qa' }) {</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The command center serializes its own checks, but other tools can still occupy test ports. Browser suites use the Nexora runner and disposable test databases; proposal fixtures do not create persistent shared CRM records. Documentation QA does not rerun these product suites.</w:t>
      </w:r>
    </w:p>
    <w:p>
      <w:pPr>
        <w:pStyle w:val="Heading2"/>
      </w:pPr>
      <w:r>
        <w:t>Continue learning</w:t>
      </w:r>
    </w:p>
    <w:p>
      <w:pPr/>
      <w:r>
        <w:t xml:space="preserve">Related guides </w:t>
      </w:r>
      <w:hyperlink w:anchor="guide_30">
        <w:r>
          <w:rPr>
            <w:color w:val="263D55"/>
          </w:rPr>
          <w:t>30 Nexora backend database and maintenance</w:t>
        </w:r>
      </w:hyperlink>
      <w:r>
        <w:t xml:space="preserve">, </w:t>
      </w:r>
      <w:hyperlink w:anchor="guide_33">
        <w:r>
          <w:rPr>
            <w:color w:val="263D55"/>
          </w:rPr>
          <w:t>33 Company Dash tasks agents and handoffs</w:t>
        </w:r>
      </w:hyperlink>
      <w:r>
        <w:t xml:space="preserve">, </w:t>
      </w:r>
      <w:hyperlink w:anchor="guide_35">
        <w:r>
          <w:rPr>
            <w:color w:val="263D55"/>
          </w:rPr>
          <w:t>35 Company Dash proposal review and integration</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C:/Users/ramish/Documents/ChatGPT/Company Dash/public/app.js" TargetMode="External"/><Relationship Id="rId12" Type="http://schemas.openxmlformats.org/officeDocument/2006/relationships/hyperlink" Target="C:/Users/ramish/Documents/ChatGPT/Company Dash/server/runner.mjs" TargetMode="External"/><Relationship Id="rId13" Type="http://schemas.openxmlformats.org/officeDocument/2006/relationships/hyperlink" Target="C:/Users/ramish/Documents/ChatGPT/Company Dash/server/catalog.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Dash QA and verification</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