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Dash proposal review and integration</w:t>
      </w:r>
    </w:p>
    <w:p>
      <w:pPr>
        <w:keepNext/>
        <w:spacing w:after="40"/>
      </w:pPr>
      <w:r>
        <w:t>Document 35 of the Nexora learning guides</w:t>
      </w:r>
    </w:p>
    <w:p>
      <w:pPr/>
      <w:r>
        <w:t>Source snapshot 14 October 2026 at 06:41 UTC</w:t>
      </w:r>
    </w:p>
    <w:p>
      <w:pPr/>
      <w:r>
        <w:t>Understand the review copy, matching source fingerprints and the explicit apply action.</w:t>
      </w:r>
    </w:p>
    <w:p>
      <w:pPr>
        <w:pStyle w:val="Heading2"/>
      </w:pPr>
      <w:r>
        <w:t>Recognise the screen and its scope</w:t>
      </w:r>
    </w:p>
    <w:p>
      <w:pPr/>
      <w:r>
        <w:t xml:space="preserve">Open </w:t>
      </w:r>
      <w:r>
        <w:rPr>
          <w:rFonts w:ascii="Consolas" w:hAnsi="Consolas"/>
          <w:sz w:val="19"/>
        </w:rPr>
        <w:t>Company Dash task dialog then Proposal verification</w:t>
      </w:r>
      <w:r>
        <w:t>. Company Dash uses loopback port 8000 and hash navigation. Open its separate repository in VS Code before Ctrl+P. The source library uses company-dash as a project label, not a Nexora folder.</w:t>
      </w:r>
    </w:p>
    <w:p>
      <w:pPr/>
      <w:r>
        <w:t>This guide covers Cumulative proposed patches; Proposal test evidence; Accepted ancestors; Integration preview; Freshness and expiry checks; Explicit local apply.</w:t>
      </w:r>
    </w:p>
    <w:p>
      <w:pPr>
        <w:keepNext/>
        <w:jc w:val="center"/>
      </w:pPr>
      <w:r>
        <w:drawing>
          <wp:inline xmlns:a="http://schemas.openxmlformats.org/drawingml/2006/main" xmlns:pic="http://schemas.openxmlformats.org/drawingml/2006/picture">
            <wp:extent cx="6355080" cy="3301340"/>
            <wp:docPr id="1" name="Picture 1" descr="File journey for Company Dash proposal review and integration"/>
            <wp:cNvGraphicFramePr>
              <a:graphicFrameLocks noChangeAspect="1"/>
            </wp:cNvGraphicFramePr>
            <a:graphic>
              <a:graphicData uri="http://schemas.openxmlformats.org/drawingml/2006/picture">
                <pic:pic>
                  <pic:nvPicPr>
                    <pic:cNvPr id="0" name="guide-35-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S0696 app.js</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S0707 proposals.mjs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S0708 repository.mjs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S0696</w:t>
      </w:r>
    </w:p>
    <w:p>
      <w:pPr/>
      <w:hyperlink r:id="rId11">
        <w:r>
          <w:rPr>
            <w:color w:val="263D55"/>
          </w:rPr>
          <w:t>public/app.js</w:t>
        </w:r>
      </w:hyperlink>
    </w:p>
    <w:p>
      <w:pPr>
        <w:keepNext/>
        <w:spacing w:after="40"/>
      </w:pPr>
      <w:r>
        <w:rPr>
          <w:b/>
        </w:rPr>
        <w:t>Server S0707</w:t>
      </w:r>
    </w:p>
    <w:p>
      <w:pPr/>
      <w:hyperlink r:id="rId12">
        <w:r>
          <w:rPr>
            <w:color w:val="263D55"/>
          </w:rPr>
          <w:t>server/proposals.mjs</w:t>
        </w:r>
      </w:hyperlink>
    </w:p>
    <w:p>
      <w:pPr>
        <w:keepNext/>
        <w:spacing w:after="40"/>
      </w:pPr>
      <w:r>
        <w:rPr>
          <w:b/>
        </w:rPr>
        <w:t>Data S0708</w:t>
      </w:r>
    </w:p>
    <w:p>
      <w:pPr/>
      <w:hyperlink r:id="rId13">
        <w:r>
          <w:rPr>
            <w:color w:val="263D55"/>
          </w:rPr>
          <w:t>server/repository.mjs</w:t>
        </w:r>
      </w:hyperlink>
    </w:p>
    <w:p>
      <w:pPr/>
      <w:r>
        <w:t>Use the HTML source buttons for full files. Word shows labelled extracts; individual Markdown guides contain complete primary files.</w:t>
      </w:r>
    </w:p>
    <w:p>
      <w:pPr>
        <w:pStyle w:val="Heading2"/>
      </w:pPr>
      <w:r>
        <w:t>Follow the request and the records</w:t>
      </w:r>
    </w:p>
    <w:p>
      <w:pPr/>
      <w:r>
        <w:t>1. Read the task report and proposed patch before starting relevant proposal QA.</w:t>
      </w:r>
    </w:p>
    <w:p>
      <w:pPr/>
      <w:r>
        <w:t>2. Review integration requests POST /api/integration/preview with a task id.</w:t>
      </w:r>
    </w:p>
    <w:p>
      <w:pPr/>
      <w:r>
        <w:t>3. The backend checks the latest proposal, accepted handoffs, exact-source QA and unchanged original baseline.</w:t>
      </w:r>
    </w:p>
    <w:p>
      <w:pPr/>
      <w:r>
        <w:t>4. A separate review copy and cumulative patch are returned for operator inspection.</w:t>
      </w:r>
    </w:p>
    <w:p>
      <w:pPr/>
      <w:r>
        <w:t>5. Apply reviewed changes revalidates the review and updates the local Nexora checkout; checkout QA follows.</w:t>
      </w:r>
    </w:p>
    <w:p>
      <w:pPr>
        <w:pStyle w:val="Heading2"/>
      </w:pPr>
      <w:r>
        <w:t>Read the code with an explanation</w:t>
      </w:r>
    </w:p>
    <w:p>
      <w:pPr/>
      <w:r>
        <w:t>public/app.js creates proposal controls and a review dialog. proposals.mjs requires passing evidence for the exact proposal fingerprint and compares the original checkout baseline. A downstream proposal includes earlier accepted developer changes. The review key expires after fifteen minutes and is revalidated on apply. Matching architecture evidence covers only that suite; choose API or browser checks when the change requires them. Applied source remains a local change until it is deliberately committed, pushed and deployed through the appropriate workflow.</w:t>
      </w:r>
    </w:p>
    <w:p>
      <w:pPr>
        <w:pStyle w:val="GuideSmall"/>
        <w:keepNext/>
      </w:pPr>
      <w:r>
        <w:t>Source reference S0696 company-dash/public/app.js</w:t>
      </w:r>
    </w:p>
    <w:p>
      <w:pPr/>
      <w:r>
        <w:t>Extract from source line 68. A fragment from a long line is shown without the rest of that line.</w:t>
      </w:r>
    </w:p>
    <w:p>
      <w:pPr>
        <w:pStyle w:val="GuideCode"/>
        <w:keepNext w:val="0"/>
      </w:pPr>
      <w:r>
        <w:t>0068  function proposalActions(task) {</w:t>
      </w:r>
    </w:p>
    <w:p>
      <w:pPr>
        <w:spacing w:after="60"/>
      </w:pPr>
    </w:p>
    <w:p>
      <w:pPr/>
      <w:r>
        <w:t>index.html supplies markup and app.js renders browser views. Follow api() to the server route handler.</w:t>
      </w:r>
    </w:p>
    <w:p>
      <w:pPr>
        <w:pStyle w:val="GuideSmall"/>
        <w:keepNext/>
      </w:pPr>
      <w:r>
        <w:t>Source reference S0707 company-dash/server/proposals.mjs</w:t>
      </w:r>
    </w:p>
    <w:p>
      <w:pPr/>
      <w:r>
        <w:t>Extract from source line 14. A fragment from a long line is shown without the rest of that line.</w:t>
      </w:r>
    </w:p>
    <w:p>
      <w:pPr>
        <w:pStyle w:val="GuideCode"/>
        <w:keepNext w:val="0"/>
      </w:pPr>
      <w:r>
        <w:t>0014  export async function proposalReview(store, config, taskId) {</w:t>
      </w:r>
    </w:p>
    <w:p>
      <w:pPr>
        <w:spacing w:after="60"/>
      </w:pPr>
    </w:p>
    <w:p>
      <w:pPr/>
      <w:r>
        <w:t>The browser api() helper sends a method and local request token. app.mjs checks the route and calls the relevant service. Follow that call to understand SQL writes, process execution and filesystem changes.</w:t>
      </w:r>
    </w:p>
    <w:p>
      <w:pPr>
        <w:pStyle w:val="GuideSmall"/>
        <w:keepNext/>
      </w:pPr>
      <w:r>
        <w:t>Source reference S0708 company-dash/server/repository.mjs</w:t>
      </w:r>
    </w:p>
    <w:p>
      <w:pPr/>
      <w:r>
        <w:t>Selected opening lines with their original numbers. The complete file is in the HTML source library.</w:t>
      </w:r>
    </w:p>
    <w:p>
      <w:pPr>
        <w:pStyle w:val="GuideCode"/>
        <w:keepNext/>
      </w:pPr>
      <w:r>
        <w:t>0001  import fs from 'node:fs/promises';</w:t>
      </w:r>
    </w:p>
    <w:p>
      <w:pPr>
        <w:pStyle w:val="GuideCode"/>
        <w:keepNext/>
      </w:pPr>
      <w:r>
        <w:t>0002  import path from 'node:path';</w:t>
      </w:r>
    </w:p>
    <w:p>
      <w:pPr>
        <w:pStyle w:val="GuideCode"/>
      </w:pPr>
      <w:r>
        <w:t>0003  import { execFile } from 'node:child_process';</w:t>
      </w:r>
    </w:p>
    <w:p>
      <w:pPr>
        <w:pStyle w:val="GuideCode"/>
        <w:keepNext/>
      </w:pPr>
      <w:r>
        <w:t>0004  import { promisify } from 'node:util';</w:t>
      </w:r>
    </w:p>
    <w:p>
      <w:pPr>
        <w:pStyle w:val="GuideCode"/>
        <w:keepNext/>
      </w:pPr>
      <w:r>
        <w:t>0005  import { createHash } from 'node:crypto';</w:t>
      </w:r>
    </w:p>
    <w:p>
      <w:pPr>
        <w:pStyle w:val="GuideCode"/>
        <w:keepNext w:val="0"/>
      </w:pPr>
      <w:r>
        <w:t>0006  const exec = promisify(execFile);</w:t>
      </w:r>
    </w:p>
    <w:p>
      <w:pPr>
        <w:spacing w:after="60"/>
      </w:pPr>
    </w:p>
    <w:p>
      <w:pPr/>
      <w:r>
        <w:t>store.mjs defines SQLite history tables. catalog.mjs and config.mjs define configuration; repository.mjs records fingerprints. Trace each key into its service before assuming it is a stored table.</w:t>
      </w:r>
    </w:p>
    <w:p>
      <w:pPr>
        <w:pStyle w:val="Heading2"/>
      </w:pPr>
      <w:r>
        <w:t>Make or trace your first change</w:t>
      </w:r>
    </w:p>
    <w:p>
      <w:pPr/>
      <w:r>
        <w:t xml:space="preserve">1. Press Ctrl+P and open </w:t>
      </w:r>
      <w:hyperlink r:id="rId12">
        <w:r>
          <w:rPr>
            <w:color w:val="263D55"/>
          </w:rPr>
          <w:t>server/proposals.mjs</w:t>
        </w:r>
      </w:hyperlink>
      <w:r>
        <w:t>.</w:t>
      </w:r>
    </w:p>
    <w:p>
      <w:pPr/>
      <w:r>
        <w:t xml:space="preserve">2. Press Ctrl+F and search for </w:t>
      </w:r>
      <w:r>
        <w:rPr>
          <w:rFonts w:ascii="Consolas" w:hAnsi="Consolas"/>
          <w:sz w:val="19"/>
        </w:rPr>
        <w:t>Run proposal QA on this exact source before integration.</w:t>
      </w:r>
      <w:r>
        <w:t>. In this snapshot it appears at line 26.</w:t>
      </w:r>
    </w:p>
    <w:p>
      <w:pPr/>
      <w:r>
        <w:t>3. Read-only exercise: find the exact-source QA requirement, then the original-checkout comparison and expiry check. Explain why a stale proposal must be refreshed rather than forced into the checkout.</w:t>
      </w:r>
    </w:p>
    <w:p>
      <w:pPr/>
      <w:r>
        <w:t>4. Record the file, request path and server handler you found. This exercise is read-only; no stored records need to change.</w:t>
      </w:r>
    </w:p>
    <w:p>
      <w:pPr/>
      <w:r>
        <w:t>Extract from source line 26. A fragment from a long line is shown without the rest of that line.</w:t>
      </w:r>
    </w:p>
    <w:p>
      <w:pPr>
        <w:pStyle w:val="GuideCode"/>
        <w:keepNext w:val="0"/>
      </w:pPr>
      <w:r>
        <w:t>0026    if (!evidence.length) throw new Error('Run proposal QA on this exact source before integration.');</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Accepting a handoff does not integrate code. Apply is an explicit state-changing operator action; never bypass the baseline or evidence checks. This documentation task does not review or apply any live proposal.</w:t>
      </w:r>
    </w:p>
    <w:p>
      <w:pPr>
        <w:pStyle w:val="Heading2"/>
      </w:pPr>
      <w:r>
        <w:t>Continue learning</w:t>
      </w:r>
    </w:p>
    <w:p>
      <w:pPr/>
      <w:r>
        <w:t xml:space="preserve">Related guides </w:t>
      </w:r>
      <w:hyperlink w:anchor="guide_30">
        <w:r>
          <w:rPr>
            <w:color w:val="263D55"/>
          </w:rPr>
          <w:t>30 Nexora backend database and maintenance</w:t>
        </w:r>
      </w:hyperlink>
      <w:r>
        <w:t xml:space="preserve">, </w:t>
      </w:r>
      <w:hyperlink w:anchor="guide_32">
        <w:r>
          <w:rPr>
            <w:color w:val="263D55"/>
          </w:rPr>
          <w:t>32 Company Dash repository and source viewer</w:t>
        </w:r>
      </w:hyperlink>
      <w:r>
        <w:t xml:space="preserve">, </w:t>
      </w:r>
      <w:hyperlink w:anchor="guide_33">
        <w:r>
          <w:rPr>
            <w:color w:val="263D55"/>
          </w:rPr>
          <w:t>33 Company Dash tasks agents and handoffs</w:t>
        </w:r>
      </w:hyperlink>
      <w:r>
        <w:t xml:space="preserve">, </w:t>
      </w:r>
      <w:hyperlink w:anchor="guide_34">
        <w:r>
          <w:rPr>
            <w:color w:val="263D55"/>
          </w:rPr>
          <w:t>34 Company Dash QA and verification</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C:/Users/ramish/Documents/ChatGPT/Company Dash/public/app.js" TargetMode="External"/><Relationship Id="rId12" Type="http://schemas.openxmlformats.org/officeDocument/2006/relationships/hyperlink" Target="C:/Users/ramish/Documents/ChatGPT/Company Dash/server/proposals.mjs" TargetMode="External"/><Relationship Id="rId13" Type="http://schemas.openxmlformats.org/officeDocument/2006/relationships/hyperlink" Target="C:/Users/ramish/Documents/ChatGPT/Company Dash/server/repository.m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Dash proposal review and integration</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