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2 – CREATE SERVICE &amp; SERVICE OFFERING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The objective of Phase 2 was to establish the ServiceNow service structure required for the incident lifecycle. A Business Service was created for IT Incident Management, followed by a Standard IT Support service offering under that service. These records provide the service context used later by the incident.</w:t>
      </w:r>
    </w:p>
    <w:p>
      <w:pPr>
        <w:pStyle w:val="Heading1"/>
      </w:pPr>
      <w:r>
        <w:t>2. Service Created</w:t>
      </w:r>
    </w:p>
    <w:p>
      <w:r>
        <w:t>The service named IT Incident Management Service was created in ServiceNow Service Portfolio.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Configured Value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IT Incident Management Service</w:t>
            </w:r>
          </w:p>
        </w:tc>
      </w:tr>
      <w:tr>
        <w:tc>
          <w:tcPr>
            <w:tcW w:type="dxa" w:w="5112"/>
          </w:tcPr>
          <w:p>
            <w:r>
              <w:t>Service classification</w:t>
            </w:r>
          </w:p>
        </w:tc>
        <w:tc>
          <w:tcPr>
            <w:tcW w:type="dxa" w:w="5112"/>
          </w:tcPr>
          <w:p>
            <w:r>
              <w:t>Business Service</w:t>
            </w:r>
          </w:p>
        </w:tc>
      </w:tr>
      <w:tr>
        <w:tc>
          <w:tcPr>
            <w:tcW w:type="dxa" w:w="5112"/>
          </w:tcPr>
          <w:p>
            <w:r>
              <w:t>Consumer type</w:t>
            </w:r>
          </w:p>
        </w:tc>
        <w:tc>
          <w:tcPr>
            <w:tcW w:type="dxa" w:w="5112"/>
          </w:tcPr>
          <w:p>
            <w:r>
              <w:t>Internal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Pipeline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Requirements</w:t>
            </w:r>
          </w:p>
        </w:tc>
      </w:tr>
      <w:tr>
        <w:tc>
          <w:tcPr>
            <w:tcW w:type="dxa" w:w="5112"/>
          </w:tcPr>
          <w:p>
            <w:r>
              <w:t>Short Description</w:t>
            </w:r>
          </w:p>
        </w:tc>
        <w:tc>
          <w:tcPr>
            <w:tcW w:type="dxa" w:w="5112"/>
          </w:tcPr>
          <w:p>
            <w:r>
              <w:t>Service for managing IT incidents from creation through investigation, escalation, resolution and closure.</w:t>
            </w:r>
          </w:p>
        </w:tc>
      </w:tr>
    </w:tbl>
    <w:p/>
    <w:p>
      <w:r>
        <w:rPr>
          <w:b/>
        </w:rPr>
        <w:t>Screenshot Evidence – Service record</w:t>
      </w:r>
    </w:p>
    <w:p>
      <w:r>
        <w:drawing>
          <wp:inline xmlns:a="http://schemas.openxmlformats.org/drawingml/2006/main" xmlns:pic="http://schemas.openxmlformats.org/drawingml/2006/picture">
            <wp:extent cx="6400800" cy="35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rvice_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IT Incident Management Service created in ServiceNow.</w:t>
      </w:r>
    </w:p>
    <w:p>
      <w:pPr>
        <w:pStyle w:val="Heading1"/>
      </w:pPr>
      <w:r>
        <w:t>3. Service Offering Created</w:t>
      </w:r>
    </w:p>
    <w:p>
      <w:r>
        <w:t>A service offering named Standard IT Support was created under IT Incident Management Service. The offering represents the standard support capability used for incident reporting, investigation, escalation, knowledge-based troubleshooting, and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Configured Value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Standard IT Support</w:t>
            </w:r>
          </w:p>
        </w:tc>
      </w:tr>
      <w:tr>
        <w:tc>
          <w:tcPr>
            <w:tcW w:type="dxa" w:w="5112"/>
          </w:tcPr>
          <w:p>
            <w:r>
              <w:t>Parent</w:t>
            </w:r>
          </w:p>
        </w:tc>
        <w:tc>
          <w:tcPr>
            <w:tcW w:type="dxa" w:w="5112"/>
          </w:tcPr>
          <w:p>
            <w:r>
              <w:t>IT Incident Management Service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Pipeline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Requirements</w:t>
            </w:r>
          </w:p>
        </w:tc>
      </w:tr>
      <w:tr>
        <w:tc>
          <w:tcPr>
            <w:tcW w:type="dxa" w:w="5112"/>
          </w:tcPr>
          <w:p>
            <w:r>
              <w:t>Short Description</w:t>
            </w:r>
          </w:p>
        </w:tc>
        <w:tc>
          <w:tcPr>
            <w:tcW w:type="dxa" w:w="5112"/>
          </w:tcPr>
          <w:p>
            <w:r>
              <w:t>Standard IT support offering for incident reporting, investigation, escalation and resolution.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Provides standard IT support for reporting, classifying, assigning, investigating, escalating and resolving incidents. The service supports knowledge-based resolution and integration with change management when required.</w:t>
            </w:r>
          </w:p>
        </w:tc>
      </w:tr>
    </w:tbl>
    <w:p/>
    <w:p>
      <w:r>
        <w:rPr>
          <w:b/>
        </w:rPr>
        <w:t>Screenshot Evidence – Service Offering record</w:t>
      </w:r>
    </w:p>
    <w:p>
      <w:r>
        <w:drawing>
          <wp:inline xmlns:a="http://schemas.openxmlformats.org/drawingml/2006/main" xmlns:pic="http://schemas.openxmlformats.org/drawingml/2006/picture">
            <wp:extent cx="6400800" cy="3606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rvice_offering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Standard IT Support service offering created under the IT Incident Management Service.</w:t>
      </w:r>
    </w:p>
    <w:p>
      <w:pPr>
        <w:pStyle w:val="Heading1"/>
      </w:pPr>
      <w:r>
        <w:t>4. Verification Evidence</w:t>
      </w:r>
    </w:p>
    <w:p>
      <w:r>
        <w:t>The Service Portfolio and Service Offering list views were checked after creation. The screenshots below show the records present in ServiceNow.</w:t>
      </w:r>
    </w:p>
    <w:p>
      <w:r>
        <w:drawing>
          <wp:inline xmlns:a="http://schemas.openxmlformats.org/drawingml/2006/main" xmlns:pic="http://schemas.openxmlformats.org/drawingml/2006/picture">
            <wp:extent cx="6400800" cy="3596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rvice_list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Service Portfolio view showing IT Incident Management Service.</w:t>
      </w:r>
    </w:p>
    <w:p>
      <w:r>
        <w:drawing>
          <wp:inline xmlns:a="http://schemas.openxmlformats.org/drawingml/2006/main" xmlns:pic="http://schemas.openxmlformats.org/drawingml/2006/picture">
            <wp:extent cx="6400800" cy="3596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ice_offering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Service Offering list showing Standard IT Support under the parent service.</w:t>
      </w:r>
    </w:p>
    <w:p>
      <w:pPr>
        <w:pStyle w:val="Heading1"/>
      </w:pPr>
      <w:r>
        <w:t>5. Phase 2 Outcome</w:t>
      </w:r>
    </w:p>
    <w:p>
      <w:pPr>
        <w:pStyle w:val="ListBullet"/>
      </w:pPr>
      <w:r>
        <w:t>IT Incident Management Service was successfully created.</w:t>
      </w:r>
    </w:p>
    <w:p>
      <w:pPr>
        <w:pStyle w:val="ListBullet"/>
      </w:pPr>
      <w:r>
        <w:t>The service was classified as a Business Service for Internal consumers.</w:t>
      </w:r>
    </w:p>
    <w:p>
      <w:pPr>
        <w:pStyle w:val="ListBullet"/>
      </w:pPr>
      <w:r>
        <w:t>Standard IT Support was successfully created as a child service offering.</w:t>
      </w:r>
    </w:p>
    <w:p>
      <w:pPr>
        <w:pStyle w:val="ListBullet"/>
      </w:pPr>
      <w:r>
        <w:t>The service structure was ready for use by the incident record in the next implementation phase.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Phase 2 Evidence Files</w:t>
      </w:r>
    </w:p>
    <w:p>
      <w:pPr>
        <w:pStyle w:val="ListBullet"/>
      </w:pPr>
      <w:r>
        <w:t>01_service_list_before.png</w:t>
      </w:r>
    </w:p>
    <w:p>
      <w:pPr>
        <w:pStyle w:val="ListBullet"/>
      </w:pPr>
      <w:r>
        <w:t>02_service_created.png</w:t>
      </w:r>
    </w:p>
    <w:p>
      <w:pPr>
        <w:pStyle w:val="ListBullet"/>
      </w:pPr>
      <w:r>
        <w:t>03_service_offering_created.png</w:t>
      </w:r>
    </w:p>
    <w:p>
      <w:pPr>
        <w:pStyle w:val="ListBullet"/>
      </w:pPr>
      <w:r>
        <w:t>04_service_offering_list.png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