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1 – REQUIREMENT ANALYSIS &amp; PLANNING</w:t>
      </w:r>
    </w:p>
    <w:p>
      <w:pPr>
        <w:jc w:val="center"/>
      </w:pPr>
      <w:r>
        <w:rPr>
          <w:b/>
          <w:sz w:val="28"/>
        </w:rPr>
        <w:t>Incident Lifecycle Automation in ServiceNow</w:t>
      </w:r>
    </w:p>
    <w:p>
      <w:pPr>
        <w:jc w:val="center"/>
      </w:pPr>
      <w:r>
        <w:rPr>
          <w:i/>
        </w:rPr>
        <w:t>ServiceNow Developer Instance | Project Planning Documentation</w:t>
      </w:r>
    </w:p>
    <w:p>
      <w:pPr>
        <w:pStyle w:val="Heading1"/>
      </w:pPr>
      <w:r>
        <w:t>1. Phase Objective</w:t>
      </w:r>
    </w:p>
    <w:p>
      <w:r>
        <w:t>The objective of Phase 1 was to analyze the project requirement and define the complete incident lifecycle before configuring the ServiceNow instance. The project was planned around a realistic IT support scenario in which a user cannot connect to the company VPN even though normal internet connectivity is available.</w:t>
      </w:r>
    </w:p>
    <w:p>
      <w:pPr>
        <w:pStyle w:val="Heading1"/>
      </w:pPr>
      <w:r>
        <w:t>2. Business Scenario</w:t>
      </w:r>
    </w:p>
    <w:p>
      <w:r>
        <w:t>A company user reports that the corporate VPN connection fails from a laptop. The incident must be classified, prioritized, assigned to the appropriate support group, investigated using Knowledge Management, escalated to Level 2 when necessary, supported by Change Management when required, tracked through a child incident, and finally resolved and validated.</w:t>
      </w:r>
    </w:p>
    <w:p>
      <w:pPr>
        <w:pStyle w:val="Heading1"/>
      </w:pPr>
      <w:r>
        <w:t>3. Functional Requirements Identified</w:t>
      </w:r>
    </w:p>
    <w:p>
      <w:pPr>
        <w:pStyle w:val="ListBullet"/>
      </w:pPr>
      <w:r>
        <w:t>Create an IT Incident Management service and a Standard IT Support service offering.</w:t>
      </w:r>
    </w:p>
    <w:p>
      <w:pPr>
        <w:pStyle w:val="ListBullet"/>
      </w:pPr>
      <w:r>
        <w:t>Create and classify an incident using Category and Subcategory.</w:t>
      </w:r>
    </w:p>
    <w:p>
      <w:pPr>
        <w:pStyle w:val="ListBullet"/>
      </w:pPr>
      <w:r>
        <w:t>Determine priority from Impact and Urgency.</w:t>
      </w:r>
    </w:p>
    <w:p>
      <w:pPr>
        <w:pStyle w:val="ListBullet"/>
      </w:pPr>
      <w:r>
        <w:t>Assign the incident to the appropriate specialist support group.</w:t>
      </w:r>
    </w:p>
    <w:p>
      <w:pPr>
        <w:pStyle w:val="ListBullet"/>
      </w:pPr>
      <w:r>
        <w:t>Use an approved Knowledge article during troubleshooting.</w:t>
      </w:r>
    </w:p>
    <w:p>
      <w:pPr>
        <w:pStyle w:val="ListBullet"/>
      </w:pPr>
      <w:r>
        <w:t>Document Level 2 escalation and investigation through work notes and incident state.</w:t>
      </w:r>
    </w:p>
    <w:p>
      <w:pPr>
        <w:pStyle w:val="ListBullet"/>
      </w:pPr>
      <w:r>
        <w:t>Create an Emergency Change when a change is required to restore service.</w:t>
      </w:r>
    </w:p>
    <w:p>
      <w:pPr>
        <w:pStyle w:val="ListBullet"/>
      </w:pPr>
      <w:r>
        <w:t>Create a child incident for detailed Level 2 investigation tracking.</w:t>
      </w:r>
    </w:p>
    <w:p>
      <w:pPr>
        <w:pStyle w:val="ListBullet"/>
      </w:pPr>
      <w:r>
        <w:t>Record resolution information and move the incident lifecycle to Resolved.</w:t>
      </w:r>
    </w:p>
    <w:p>
      <w:pPr>
        <w:pStyle w:val="ListBullet"/>
      </w:pPr>
      <w:r>
        <w:t>Validate the final records and maintain traceability between the incident, knowledge, change, and child incident.</w:t>
      </w:r>
    </w:p>
    <w:p>
      <w:pPr>
        <w:pStyle w:val="Heading1"/>
      </w:pPr>
      <w:r>
        <w:t>4. Planned End-to-End Workflow</w:t>
      </w:r>
    </w:p>
    <w:p>
      <w:r>
        <w:t>The following workflow was defined during planning and later implemented in ServiceNow:</w:t>
      </w:r>
    </w:p>
    <w:p>
      <w:r>
        <w:drawing>
          <wp:inline xmlns:a="http://schemas.openxmlformats.org/drawingml/2006/main" xmlns:pic="http://schemas.openxmlformats.org/drawingml/2006/picture">
            <wp:extent cx="6492240" cy="25508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01_Incident_Lifecycle_Planning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50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Phase 1 planning evidence – proposed incident lifecycle.</w:t>
      </w:r>
    </w:p>
    <w:p>
      <w:pPr>
        <w:pStyle w:val="Heading1"/>
      </w:pPr>
      <w:r>
        <w:t>5. Planned ServiceNow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Record</w:t>
            </w:r>
          </w:p>
        </w:tc>
        <w:tc>
          <w:tcPr>
            <w:tcW w:type="dxa" w:w="3360"/>
          </w:tcPr>
          <w:p>
            <w:r>
              <w:t>Planned Purpose</w:t>
            </w:r>
          </w:p>
        </w:tc>
        <w:tc>
          <w:tcPr>
            <w:tcW w:type="dxa" w:w="3360"/>
          </w:tcPr>
          <w:p>
            <w:r>
              <w:t>Final Project Record</w:t>
            </w:r>
          </w:p>
        </w:tc>
      </w:tr>
      <w:tr>
        <w:tc>
          <w:tcPr>
            <w:tcW w:type="dxa" w:w="3360"/>
          </w:tcPr>
          <w:p>
            <w:r>
              <w:t>Incident</w:t>
            </w:r>
          </w:p>
        </w:tc>
        <w:tc>
          <w:tcPr>
            <w:tcW w:type="dxa" w:w="3360"/>
          </w:tcPr>
          <w:p>
            <w:r>
              <w:t>Main VPN incident lifecycle</w:t>
            </w:r>
          </w:p>
        </w:tc>
        <w:tc>
          <w:tcPr>
            <w:tcW w:type="dxa" w:w="3360"/>
          </w:tcPr>
          <w:p>
            <w:r>
              <w:t>INC0010014</w:t>
            </w:r>
          </w:p>
        </w:tc>
      </w:tr>
      <w:tr>
        <w:tc>
          <w:tcPr>
            <w:tcW w:type="dxa" w:w="3360"/>
          </w:tcPr>
          <w:p>
            <w:r>
              <w:t>Knowledge Article</w:t>
            </w:r>
          </w:p>
        </w:tc>
        <w:tc>
          <w:tcPr>
            <w:tcW w:type="dxa" w:w="3360"/>
          </w:tcPr>
          <w:p>
            <w:r>
              <w:t>Reusable VPN troubleshooting guidance</w:t>
            </w:r>
          </w:p>
        </w:tc>
        <w:tc>
          <w:tcPr>
            <w:tcW w:type="dxa" w:w="3360"/>
          </w:tcPr>
          <w:p>
            <w:r>
              <w:t>KB0010001</w:t>
            </w:r>
          </w:p>
        </w:tc>
      </w:tr>
      <w:tr>
        <w:tc>
          <w:tcPr>
            <w:tcW w:type="dxa" w:w="3360"/>
          </w:tcPr>
          <w:p>
            <w:r>
              <w:t>Emergency Change</w:t>
            </w:r>
          </w:p>
        </w:tc>
        <w:tc>
          <w:tcPr>
            <w:tcW w:type="dxa" w:w="3360"/>
          </w:tcPr>
          <w:p>
            <w:r>
              <w:t>Support restoration of VPN service</w:t>
            </w:r>
          </w:p>
        </w:tc>
        <w:tc>
          <w:tcPr>
            <w:tcW w:type="dxa" w:w="3360"/>
          </w:tcPr>
          <w:p>
            <w:r>
              <w:t>CHG0030002</w:t>
            </w:r>
          </w:p>
        </w:tc>
      </w:tr>
      <w:tr>
        <w:tc>
          <w:tcPr>
            <w:tcW w:type="dxa" w:w="3360"/>
          </w:tcPr>
          <w:p>
            <w:r>
              <w:t>Child Incident</w:t>
            </w:r>
          </w:p>
        </w:tc>
        <w:tc>
          <w:tcPr>
            <w:tcW w:type="dxa" w:w="3360"/>
          </w:tcPr>
          <w:p>
            <w:r>
              <w:t>Separate Level 2 investigation tracking</w:t>
            </w:r>
          </w:p>
        </w:tc>
        <w:tc>
          <w:tcPr>
            <w:tcW w:type="dxa" w:w="3360"/>
          </w:tcPr>
          <w:p>
            <w:r>
              <w:t>INC0010016</w:t>
            </w:r>
          </w:p>
        </w:tc>
      </w:tr>
      <w:tr>
        <w:tc>
          <w:tcPr>
            <w:tcW w:type="dxa" w:w="3360"/>
          </w:tcPr>
          <w:p>
            <w:r>
              <w:t>Service</w:t>
            </w:r>
          </w:p>
        </w:tc>
        <w:tc>
          <w:tcPr>
            <w:tcW w:type="dxa" w:w="3360"/>
          </w:tcPr>
          <w:p>
            <w:r>
              <w:t>IT incident management service</w:t>
            </w:r>
          </w:p>
        </w:tc>
        <w:tc>
          <w:tcPr>
            <w:tcW w:type="dxa" w:w="3360"/>
          </w:tcPr>
          <w:p>
            <w:r>
              <w:t>IT Incident Management Service</w:t>
            </w:r>
          </w:p>
        </w:tc>
      </w:tr>
      <w:tr>
        <w:tc>
          <w:tcPr>
            <w:tcW w:type="dxa" w:w="3360"/>
          </w:tcPr>
          <w:p>
            <w:r>
              <w:t>Service Offering</w:t>
            </w:r>
          </w:p>
        </w:tc>
        <w:tc>
          <w:tcPr>
            <w:tcW w:type="dxa" w:w="3360"/>
          </w:tcPr>
          <w:p>
            <w:r>
              <w:t>Standard support offering</w:t>
            </w:r>
          </w:p>
        </w:tc>
        <w:tc>
          <w:tcPr>
            <w:tcW w:type="dxa" w:w="3360"/>
          </w:tcPr>
          <w:p>
            <w:r>
              <w:t>Standard IT Support</w:t>
            </w:r>
          </w:p>
        </w:tc>
      </w:tr>
    </w:tbl>
    <w:p>
      <w:pPr>
        <w:pStyle w:val="Heading1"/>
      </w:pPr>
      <w:r>
        <w:t>6. Expected Outcomes</w:t>
      </w:r>
    </w:p>
    <w:p>
      <w:pPr>
        <w:pStyle w:val="ListBullet"/>
      </w:pPr>
      <w:r>
        <w:t>A structured incident lifecycle that can be demonstrated end-to-end.</w:t>
      </w:r>
    </w:p>
    <w:p>
      <w:pPr>
        <w:pStyle w:val="ListBullet"/>
      </w:pPr>
      <w:r>
        <w:t>Consistent classification and priority assessment.</w:t>
      </w:r>
    </w:p>
    <w:p>
      <w:pPr>
        <w:pStyle w:val="ListBullet"/>
      </w:pPr>
      <w:r>
        <w:t>Clear ownership and specialist escalation.</w:t>
      </w:r>
    </w:p>
    <w:p>
      <w:pPr>
        <w:pStyle w:val="ListBullet"/>
      </w:pPr>
      <w:r>
        <w:t>Reusable troubleshooting knowledge.</w:t>
      </w:r>
    </w:p>
    <w:p>
      <w:pPr>
        <w:pStyle w:val="ListBullet"/>
      </w:pPr>
      <w:r>
        <w:t>Traceable change and child-incident activity.</w:t>
      </w:r>
    </w:p>
    <w:p>
      <w:pPr>
        <w:pStyle w:val="ListBullet"/>
      </w:pPr>
      <w:r>
        <w:t>A fully documented and validated resolution.</w:t>
      </w:r>
    </w:p>
    <w:p>
      <w:pPr>
        <w:pStyle w:val="Heading1"/>
      </w:pPr>
      <w:r>
        <w:t>7. Phase 1 Evidence</w:t>
      </w:r>
    </w:p>
    <w:p>
      <w:r>
        <w:t>Phase 1 is a planning and requirements phase, so it does not have a unique ServiceNow record screenshot. Figure 1 is included as the planning evidence for this phase. The actual ServiceNow configuration screenshots begin with the implementation phases.</w:t>
      </w:r>
    </w:p>
    <w:p>
      <w:pPr>
        <w:pStyle w:val="Heading1"/>
      </w:pPr>
      <w:r>
        <w:t>8. Phase 1 Completion</w:t>
      </w:r>
    </w:p>
    <w:p>
      <w:r>
        <w:rPr>
          <w:b/>
        </w:rPr>
        <w:t xml:space="preserve">Status: </w:t>
      </w:r>
      <w:r>
        <w:t>COMPLETED</w:t>
      </w:r>
    </w:p>
    <w:p>
      <w:r>
        <w:t>The project requirements, business scenario, expected records, and end-to-end incident lifecycle were defined before implementation.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