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8 – EMERGENCY CHANGE REQUEST CREATION</w:t>
      </w:r>
    </w:p>
    <w:p>
      <w:pPr>
        <w:jc w:val="center"/>
      </w:pPr>
      <w:r>
        <w:rPr>
          <w:b/>
          <w:sz w:val="28"/>
        </w:rPr>
        <w:t>Incident Lifecycle Automation in ServiceNow</w:t>
      </w:r>
    </w:p>
    <w:p>
      <w:pPr>
        <w:jc w:val="center"/>
      </w:pPr>
      <w:r>
        <w:rPr>
          <w:i/>
        </w:rPr>
        <w:t>Implementation Documentation with ServiceNow Screenshot Evidence</w:t>
      </w:r>
    </w:p>
    <w:p>
      <w:pPr>
        <w:pStyle w:val="Heading1"/>
      </w:pPr>
      <w:r>
        <w:t>1. Phase Objective</w:t>
      </w:r>
    </w:p>
    <w:p>
      <w:r>
        <w:t>Create an Emergency Change to support restoration of the VPN service when change activity is required.</w:t>
      </w:r>
    </w:p>
    <w:p>
      <w:pPr>
        <w:pStyle w:val="Heading1"/>
      </w:pPr>
      <w:r>
        <w:t>2. Implementation Details</w:t>
      </w:r>
    </w:p>
    <w:p>
      <w:r>
        <w:t>An Emergency Change request, CHG0030002, was created to support resolution of the VPN connectivity issue.</w:t>
      </w:r>
    </w:p>
    <w:p>
      <w:r>
        <w:t>The change description references Incident INC0010014 and explains that the Network team was investigating the VPN issue and that an emergency change may be required to restore connectivity.</w:t>
      </w:r>
    </w:p>
    <w:p>
      <w:r>
        <w:t>The incident work notes also recorded CHG0030002 for traceability. In this instance, the standard Incident rfc field was not available, so traceability was maintained through the change description and incident work note.</w:t>
      </w:r>
    </w:p>
    <w:p>
      <w:pPr>
        <w:pStyle w:val="Heading1"/>
      </w:pPr>
      <w:r>
        <w:t>3. Configured / Verified Records</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Value</w:t>
            </w:r>
          </w:p>
        </w:tc>
      </w:tr>
      <w:tr>
        <w:tc>
          <w:tcPr>
            <w:tcW w:type="dxa" w:w="5112"/>
          </w:tcPr>
          <w:p>
            <w:r>
              <w:t>Change Number</w:t>
            </w:r>
          </w:p>
        </w:tc>
        <w:tc>
          <w:tcPr>
            <w:tcW w:type="dxa" w:w="5112"/>
          </w:tcPr>
          <w:p>
            <w:r>
              <w:t>CHG0030002</w:t>
            </w:r>
          </w:p>
        </w:tc>
      </w:tr>
      <w:tr>
        <w:tc>
          <w:tcPr>
            <w:tcW w:type="dxa" w:w="5112"/>
          </w:tcPr>
          <w:p>
            <w:r>
              <w:t>Model</w:t>
            </w:r>
          </w:p>
        </w:tc>
        <w:tc>
          <w:tcPr>
            <w:tcW w:type="dxa" w:w="5112"/>
          </w:tcPr>
          <w:p>
            <w:r>
              <w:t>Emergency</w:t>
            </w:r>
          </w:p>
        </w:tc>
      </w:tr>
      <w:tr>
        <w:tc>
          <w:tcPr>
            <w:tcW w:type="dxa" w:w="5112"/>
          </w:tcPr>
          <w:p>
            <w:r>
              <w:t>Type</w:t>
            </w:r>
          </w:p>
        </w:tc>
        <w:tc>
          <w:tcPr>
            <w:tcW w:type="dxa" w:w="5112"/>
          </w:tcPr>
          <w:p>
            <w:r>
              <w:t>Emergency</w:t>
            </w:r>
          </w:p>
        </w:tc>
      </w:tr>
      <w:tr>
        <w:tc>
          <w:tcPr>
            <w:tcW w:type="dxa" w:w="5112"/>
          </w:tcPr>
          <w:p>
            <w:r>
              <w:t>State</w:t>
            </w:r>
          </w:p>
        </w:tc>
        <w:tc>
          <w:tcPr>
            <w:tcW w:type="dxa" w:w="5112"/>
          </w:tcPr>
          <w:p>
            <w:r>
              <w:t>New</w:t>
            </w:r>
          </w:p>
        </w:tc>
      </w:tr>
      <w:tr>
        <w:tc>
          <w:tcPr>
            <w:tcW w:type="dxa" w:w="5112"/>
          </w:tcPr>
          <w:p>
            <w:r>
              <w:t>Service</w:t>
            </w:r>
          </w:p>
        </w:tc>
        <w:tc>
          <w:tcPr>
            <w:tcW w:type="dxa" w:w="5112"/>
          </w:tcPr>
          <w:p>
            <w:r>
              <w:t>IT Incident Management Service</w:t>
            </w:r>
          </w:p>
        </w:tc>
      </w:tr>
      <w:tr>
        <w:tc>
          <w:tcPr>
            <w:tcW w:type="dxa" w:w="5112"/>
          </w:tcPr>
          <w:p>
            <w:r>
              <w:t>Service Offering</w:t>
            </w:r>
          </w:p>
        </w:tc>
        <w:tc>
          <w:tcPr>
            <w:tcW w:type="dxa" w:w="5112"/>
          </w:tcPr>
          <w:p>
            <w:r>
              <w:t>Standard IT Support</w:t>
            </w:r>
          </w:p>
        </w:tc>
      </w:tr>
      <w:tr>
        <w:tc>
          <w:tcPr>
            <w:tcW w:type="dxa" w:w="5112"/>
          </w:tcPr>
          <w:p>
            <w:r>
              <w:t>Priority</w:t>
            </w:r>
          </w:p>
        </w:tc>
        <w:tc>
          <w:tcPr>
            <w:tcW w:type="dxa" w:w="5112"/>
          </w:tcPr>
          <w:p>
            <w:r>
              <w:t>3 - Moderate</w:t>
            </w:r>
          </w:p>
        </w:tc>
      </w:tr>
      <w:tr>
        <w:tc>
          <w:tcPr>
            <w:tcW w:type="dxa" w:w="5112"/>
          </w:tcPr>
          <w:p>
            <w:r>
              <w:t>Impact</w:t>
            </w:r>
          </w:p>
        </w:tc>
        <w:tc>
          <w:tcPr>
            <w:tcW w:type="dxa" w:w="5112"/>
          </w:tcPr>
          <w:p>
            <w:r>
              <w:t>2 - Medium</w:t>
            </w:r>
          </w:p>
        </w:tc>
      </w:tr>
      <w:tr>
        <w:tc>
          <w:tcPr>
            <w:tcW w:type="dxa" w:w="5112"/>
          </w:tcPr>
          <w:p>
            <w:r>
              <w:t>Assignment Group</w:t>
            </w:r>
          </w:p>
        </w:tc>
        <w:tc>
          <w:tcPr>
            <w:tcW w:type="dxa" w:w="5112"/>
          </w:tcPr>
          <w:p>
            <w:r>
              <w:t>Network</w:t>
            </w:r>
          </w:p>
        </w:tc>
      </w:tr>
    </w:tbl>
    <w:p>
      <w:pPr>
        <w:pStyle w:val="Heading1"/>
      </w:pPr>
      <w:r>
        <w:t>4. Screenshot Evidence</w:t>
      </w:r>
    </w:p>
    <w:p>
      <w:r>
        <w:t>Only evidence relevant to this phase is included below.</w:t>
      </w:r>
    </w:p>
    <w:p>
      <w:r>
        <w:drawing>
          <wp:inline xmlns:a="http://schemas.openxmlformats.org/drawingml/2006/main" xmlns:pic="http://schemas.openxmlformats.org/drawingml/2006/picture">
            <wp:extent cx="6400800" cy="3599406"/>
            <wp:docPr id="1" name="Picture 1"/>
            <wp:cNvGraphicFramePr>
              <a:graphicFrameLocks noChangeAspect="1"/>
            </wp:cNvGraphicFramePr>
            <a:graphic>
              <a:graphicData uri="http://schemas.openxmlformats.org/drawingml/2006/picture">
                <pic:pic>
                  <pic:nvPicPr>
                    <pic:cNvPr id="0" name="b9643277-14cc-4192-9c3f-ece56376489a.png"/>
                    <pic:cNvPicPr/>
                  </pic:nvPicPr>
                  <pic:blipFill>
                    <a:blip r:embed="rId9"/>
                    <a:stretch>
                      <a:fillRect/>
                    </a:stretch>
                  </pic:blipFill>
                  <pic:spPr>
                    <a:xfrm>
                      <a:off x="0" y="0"/>
                      <a:ext cx="6400800" cy="3599406"/>
                    </a:xfrm>
                    <a:prstGeom prst="rect"/>
                  </pic:spPr>
                </pic:pic>
              </a:graphicData>
            </a:graphic>
          </wp:inline>
        </w:drawing>
      </w:r>
    </w:p>
    <w:p>
      <w:pPr>
        <w:jc w:val="center"/>
      </w:pPr>
      <w:r>
        <w:rPr>
          <w:i/>
        </w:rPr>
        <w:t>Figure 1. Emergency Change creation evidence for the VPN restoration activity.</w:t>
      </w:r>
    </w:p>
    <w:p>
      <w:r>
        <w:drawing>
          <wp:inline xmlns:a="http://schemas.openxmlformats.org/drawingml/2006/main" xmlns:pic="http://schemas.openxmlformats.org/drawingml/2006/picture">
            <wp:extent cx="6400800" cy="3599406"/>
            <wp:docPr id="2" name="Picture 2"/>
            <wp:cNvGraphicFramePr>
              <a:graphicFrameLocks noChangeAspect="1"/>
            </wp:cNvGraphicFramePr>
            <a:graphic>
              <a:graphicData uri="http://schemas.openxmlformats.org/drawingml/2006/picture">
                <pic:pic>
                  <pic:nvPicPr>
                    <pic:cNvPr id="0" name="8f137fa9-365c-4757-b0c9-8a6fecf61563.png"/>
                    <pic:cNvPicPr/>
                  </pic:nvPicPr>
                  <pic:blipFill>
                    <a:blip r:embed="rId10"/>
                    <a:stretch>
                      <a:fillRect/>
                    </a:stretch>
                  </pic:blipFill>
                  <pic:spPr>
                    <a:xfrm>
                      <a:off x="0" y="0"/>
                      <a:ext cx="6400800" cy="3599406"/>
                    </a:xfrm>
                    <a:prstGeom prst="rect"/>
                  </pic:spPr>
                </pic:pic>
              </a:graphicData>
            </a:graphic>
          </wp:inline>
        </w:drawing>
      </w:r>
    </w:p>
    <w:p>
      <w:pPr>
        <w:jc w:val="center"/>
      </w:pPr>
      <w:r>
        <w:rPr>
          <w:i/>
        </w:rPr>
        <w:t>Figure 2. Saved CHG0030002 Emergency Change record.</w:t>
      </w:r>
    </w:p>
    <w:p>
      <w:pPr>
        <w:pStyle w:val="Heading1"/>
      </w:pPr>
      <w:r>
        <w:t>5. Phase Outcome</w:t>
      </w:r>
    </w:p>
    <w:p>
      <w:pPr>
        <w:pStyle w:val="ListBullet"/>
      </w:pPr>
      <w:r>
        <w:t>CHG0030002 was successfully created as an Emergency Change.</w:t>
      </w:r>
    </w:p>
    <w:p>
      <w:pPr>
        <w:pStyle w:val="ListBullet"/>
      </w:pPr>
      <w:r>
        <w:t>The change was assigned to the Network group.</w:t>
      </w:r>
    </w:p>
    <w:p>
      <w:pPr>
        <w:pStyle w:val="ListBullet"/>
      </w:pPr>
      <w:r>
        <w:t>The change was documented against INC0010014 for project traceability.</w:t>
      </w:r>
    </w:p>
    <w:p>
      <w:r>
        <w:rPr>
          <w:b/>
        </w:rPr>
        <w:t xml:space="preserve">Status: </w:t>
      </w:r>
      <w:r>
        <w:t>COMPLETED</w:t>
      </w:r>
    </w:p>
    <w:p>
      <w:pPr>
        <w:pStyle w:val="Heading1"/>
      </w:pPr>
      <w:r>
        <w:t>6. Evidence Files</w:t>
      </w:r>
    </w:p>
    <w:p>
      <w:pPr>
        <w:pStyle w:val="ListBullet"/>
      </w:pPr>
      <w:r>
        <w:t>b9643277-14cc-4192-9c3f-ece56376489a.png</w:t>
      </w:r>
    </w:p>
    <w:p>
      <w:pPr>
        <w:pStyle w:val="ListBullet"/>
      </w:pPr>
      <w:r>
        <w:t>8f137fa9-365c-4757-b0c9-8a6fecf61563.png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