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11 – KNOWLEDGE CREATION &amp; REUSE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i/>
        </w:rPr>
        <w:t>Implementation Documentation with ServiceNow Screenshot Evidence</w:t>
      </w:r>
    </w:p>
    <w:p>
      <w:pPr>
        <w:pStyle w:val="Heading1"/>
      </w:pPr>
      <w:r>
        <w:t>1. Phase Objective</w:t>
      </w:r>
    </w:p>
    <w:p>
      <w:r>
        <w:t>Retain the troubleshooting solution as reusable Knowledge so future VPN incidents can be handled consistently.</w:t>
      </w:r>
    </w:p>
    <w:p>
      <w:pPr>
        <w:pStyle w:val="Heading1"/>
      </w:pPr>
      <w:r>
        <w:t>2. Implementation Details</w:t>
      </w:r>
    </w:p>
    <w:p>
      <w:r>
        <w:t>The approved Knowledge article KB0010001 – VPN Connection Troubleshooting was retained as reusable support knowledge.</w:t>
      </w:r>
    </w:p>
    <w:p>
      <w:r>
        <w:t>The article contains possible causes, resolution steps, and verification guidance for VPN connectivity problems.</w:t>
      </w:r>
    </w:p>
    <w:p>
      <w:r>
        <w:t>The article was searched from INC0010014 and attached to the incident. This demonstrates Knowledge Management reuse within the incident lifecycle.</w:t>
      </w:r>
    </w:p>
    <w:p>
      <w:pPr>
        <w:pStyle w:val="Heading1"/>
      </w:pPr>
      <w:r>
        <w:t>3. Configured / Verified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Knowledge Article</w:t>
            </w:r>
          </w:p>
        </w:tc>
        <w:tc>
          <w:tcPr>
            <w:tcW w:type="dxa" w:w="5112"/>
          </w:tcPr>
          <w:p>
            <w:r>
              <w:t>KB0010001</w:t>
            </w:r>
          </w:p>
        </w:tc>
      </w:tr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VPN Connection Troubleshooting</w:t>
            </w:r>
          </w:p>
        </w:tc>
      </w:tr>
      <w:tr>
        <w:tc>
          <w:tcPr>
            <w:tcW w:type="dxa" w:w="5112"/>
          </w:tcPr>
          <w:p>
            <w:r>
              <w:t>Knowledge Base</w:t>
            </w:r>
          </w:p>
        </w:tc>
        <w:tc>
          <w:tcPr>
            <w:tcW w:type="dxa" w:w="5112"/>
          </w:tcPr>
          <w:p>
            <w:r>
              <w:t>IT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Approved</w:t>
            </w:r>
          </w:p>
        </w:tc>
      </w:tr>
      <w:tr>
        <w:tc>
          <w:tcPr>
            <w:tcW w:type="dxa" w:w="5112"/>
          </w:tcPr>
          <w:p>
            <w:r>
              <w:t>Incident Reuse</w:t>
            </w:r>
          </w:p>
        </w:tc>
        <w:tc>
          <w:tcPr>
            <w:tcW w:type="dxa" w:w="5112"/>
          </w:tcPr>
          <w:p>
            <w:r>
              <w:t>Attached to INC0010014</w:t>
            </w:r>
          </w:p>
        </w:tc>
      </w:tr>
    </w:tbl>
    <w:p>
      <w:pPr>
        <w:pStyle w:val="Heading1"/>
      </w:pPr>
      <w:r>
        <w:t>4. Screenshot Evidence</w:t>
      </w:r>
    </w:p>
    <w:p>
      <w:r>
        <w:t>Only evidence relevant to this phase is included below.</w:t>
      </w:r>
    </w:p>
    <w:p>
      <w:r>
        <w:drawing>
          <wp:inline xmlns:a="http://schemas.openxmlformats.org/drawingml/2006/main" xmlns:pic="http://schemas.openxmlformats.org/drawingml/2006/picture">
            <wp:extent cx="6400800" cy="359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6aff66-f975-435f-9cdd-1ef2b0db658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KB0010001 – VPN Connection Troubleshooting used as approved Knowledge evidence.</w:t>
      </w:r>
    </w:p>
    <w:p>
      <w:pPr>
        <w:pStyle w:val="Heading1"/>
      </w:pPr>
      <w:r>
        <w:t>5. Phase Outcome</w:t>
      </w:r>
    </w:p>
    <w:p>
      <w:pPr>
        <w:pStyle w:val="ListBullet"/>
      </w:pPr>
      <w:r>
        <w:t>KB0010001 was available as an approved Knowledge article.</w:t>
      </w:r>
    </w:p>
    <w:p>
      <w:pPr>
        <w:pStyle w:val="ListBullet"/>
      </w:pPr>
      <w:r>
        <w:t>The troubleshooting procedure was reusable for future incidents.</w:t>
      </w:r>
    </w:p>
    <w:p>
      <w:pPr>
        <w:pStyle w:val="ListBullet"/>
      </w:pPr>
      <w:r>
        <w:t>Knowledge Management was incorporated into the incident lifecycle.</w:t>
      </w:r>
    </w:p>
    <w:p>
      <w:r>
        <w:rPr>
          <w:b/>
        </w:rPr>
        <w:t xml:space="preserve">Status: </w:t>
      </w:r>
      <w:r>
        <w:t>COMPLETED</w:t>
      </w:r>
    </w:p>
    <w:p>
      <w:pPr>
        <w:pStyle w:val="Heading1"/>
      </w:pPr>
      <w:r>
        <w:t>6. Evidence Files</w:t>
      </w:r>
    </w:p>
    <w:p>
      <w:pPr>
        <w:pStyle w:val="ListBullet"/>
      </w:pPr>
      <w:r>
        <w:t>e56aff66-f975-435f-9cdd-1ef2b0db658d.png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