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PHASE 10 – INCIDENT RESOLUTION</w:t>
      </w:r>
    </w:p>
    <w:p>
      <w:pPr>
        <w:jc w:val="center"/>
      </w:pPr>
      <w:r>
        <w:rPr>
          <w:b/>
          <w:sz w:val="28"/>
        </w:rPr>
        <w:t>Incident Lifecycle Automation in ServiceNow</w:t>
      </w:r>
    </w:p>
    <w:p>
      <w:pPr>
        <w:jc w:val="center"/>
      </w:pPr>
      <w:r>
        <w:rPr>
          <w:i/>
        </w:rPr>
        <w:t>Implementation Documentation with ServiceNow Screenshot Evidence</w:t>
      </w:r>
    </w:p>
    <w:p>
      <w:pPr>
        <w:pStyle w:val="Heading1"/>
      </w:pPr>
      <w:r>
        <w:t>1. Phase Objective</w:t>
      </w:r>
    </w:p>
    <w:p>
      <w:r>
        <w:t>Complete the incident lifecycle by recording the resolution details and moving the parent incident to Resolved.</w:t>
      </w:r>
    </w:p>
    <w:p>
      <w:pPr>
        <w:pStyle w:val="Heading1"/>
      </w:pPr>
      <w:r>
        <w:t>2. Implementation Details</w:t>
      </w:r>
    </w:p>
    <w:p>
      <w:r>
        <w:t>After the Network team's investigation and the Emergency Change activity, the parent incident was resolved.</w:t>
      </w:r>
    </w:p>
    <w:p>
      <w:r>
        <w:t>Resolution notes recorded: “VPN connectivity issue was investigated by the Level 2 Network team. Emergency change CHG0030002 was created to support restoration of VPN services. Connectivity was restored and the incident is resolved.”</w:t>
      </w:r>
    </w:p>
    <w:p>
      <w:r>
        <w:t>ServiceNow confirmed that INC0010014 and its child incident(s) were resolved.</w:t>
      </w:r>
    </w:p>
    <w:p>
      <w:pPr>
        <w:pStyle w:val="Heading1"/>
      </w:pPr>
      <w:r>
        <w:t>3. Configured / Verified Records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Field</w:t>
            </w:r>
          </w:p>
        </w:tc>
        <w:tc>
          <w:tcPr>
            <w:tcW w:type="dxa" w:w="5112"/>
          </w:tcPr>
          <w:p>
            <w:r>
              <w:t>Value</w:t>
            </w:r>
          </w:p>
        </w:tc>
      </w:tr>
      <w:tr>
        <w:tc>
          <w:tcPr>
            <w:tcW w:type="dxa" w:w="5112"/>
          </w:tcPr>
          <w:p>
            <w:r>
              <w:t>Incident</w:t>
            </w:r>
          </w:p>
        </w:tc>
        <w:tc>
          <w:tcPr>
            <w:tcW w:type="dxa" w:w="5112"/>
          </w:tcPr>
          <w:p>
            <w:r>
              <w:t>INC0010014</w:t>
            </w:r>
          </w:p>
        </w:tc>
      </w:tr>
      <w:tr>
        <w:tc>
          <w:tcPr>
            <w:tcW w:type="dxa" w:w="5112"/>
          </w:tcPr>
          <w:p>
            <w:r>
              <w:t>Resolution Code</w:t>
            </w:r>
          </w:p>
        </w:tc>
        <w:tc>
          <w:tcPr>
            <w:tcW w:type="dxa" w:w="5112"/>
          </w:tcPr>
          <w:p>
            <w:r>
              <w:t>Resolved by change</w:t>
            </w:r>
          </w:p>
        </w:tc>
      </w:tr>
      <w:tr>
        <w:tc>
          <w:tcPr>
            <w:tcW w:type="dxa" w:w="5112"/>
          </w:tcPr>
          <w:p>
            <w:r>
              <w:t>Emergency Change</w:t>
            </w:r>
          </w:p>
        </w:tc>
        <w:tc>
          <w:tcPr>
            <w:tcW w:type="dxa" w:w="5112"/>
          </w:tcPr>
          <w:p>
            <w:r>
              <w:t>CHG0030002</w:t>
            </w:r>
          </w:p>
        </w:tc>
      </w:tr>
      <w:tr>
        <w:tc>
          <w:tcPr>
            <w:tcW w:type="dxa" w:w="5112"/>
          </w:tcPr>
          <w:p>
            <w:r>
              <w:t>Final State</w:t>
            </w:r>
          </w:p>
        </w:tc>
        <w:tc>
          <w:tcPr>
            <w:tcW w:type="dxa" w:w="5112"/>
          </w:tcPr>
          <w:p>
            <w:r>
              <w:t>Resolved</w:t>
            </w:r>
          </w:p>
        </w:tc>
      </w:tr>
      <w:tr>
        <w:tc>
          <w:tcPr>
            <w:tcW w:type="dxa" w:w="5112"/>
          </w:tcPr>
          <w:p>
            <w:r>
              <w:t>Child Incident</w:t>
            </w:r>
          </w:p>
        </w:tc>
        <w:tc>
          <w:tcPr>
            <w:tcW w:type="dxa" w:w="5112"/>
          </w:tcPr>
          <w:p>
            <w:r>
              <w:t>INC0010016 – also resolved</w:t>
            </w:r>
          </w:p>
        </w:tc>
      </w:tr>
    </w:tbl>
    <w:p>
      <w:pPr>
        <w:pStyle w:val="Heading1"/>
      </w:pPr>
      <w:r>
        <w:t>4. Screenshot Evidence</w:t>
      </w:r>
    </w:p>
    <w:p>
      <w:r>
        <w:t>Only evidence relevant to this phase is included below.</w:t>
      </w:r>
    </w:p>
    <w:p>
      <w:r>
        <w:drawing>
          <wp:inline xmlns:a="http://schemas.openxmlformats.org/drawingml/2006/main" xmlns:pic="http://schemas.openxmlformats.org/drawingml/2006/picture">
            <wp:extent cx="6400800" cy="35994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5f51ea9-8d4b-4ef8-a607-6948281f1ec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9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1. Final resolved state of INC0010014 and resolution evidence.</w:t>
      </w:r>
    </w:p>
    <w:p>
      <w:pPr>
        <w:pStyle w:val="Heading1"/>
      </w:pPr>
      <w:r>
        <w:t>5. Phase Outcome</w:t>
      </w:r>
    </w:p>
    <w:p>
      <w:pPr>
        <w:pStyle w:val="ListBullet"/>
      </w:pPr>
      <w:r>
        <w:t>Resolution code was set to Resolved by change.</w:t>
      </w:r>
    </w:p>
    <w:p>
      <w:pPr>
        <w:pStyle w:val="ListBullet"/>
      </w:pPr>
      <w:r>
        <w:t>CHG0030002 was referenced in the resolution notes.</w:t>
      </w:r>
    </w:p>
    <w:p>
      <w:pPr>
        <w:pStyle w:val="ListBullet"/>
      </w:pPr>
      <w:r>
        <w:t>INC0010014 reached Resolved state.</w:t>
      </w:r>
    </w:p>
    <w:p>
      <w:pPr>
        <w:pStyle w:val="ListBullet"/>
      </w:pPr>
      <w:r>
        <w:t>The child incident was also resolved.</w:t>
      </w:r>
    </w:p>
    <w:p>
      <w:r>
        <w:rPr>
          <w:b/>
        </w:rPr>
        <w:t xml:space="preserve">Status: </w:t>
      </w:r>
      <w:r>
        <w:t>COMPLETED</w:t>
      </w:r>
    </w:p>
    <w:p>
      <w:pPr>
        <w:pStyle w:val="Heading1"/>
      </w:pPr>
      <w:r>
        <w:t>6. Evidence Files</w:t>
      </w:r>
    </w:p>
    <w:p>
      <w:pPr>
        <w:pStyle w:val="ListBullet"/>
      </w:pPr>
      <w:r>
        <w:t>95f51ea9-8d4b-4ef8-a607-6948281f1ec6.png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