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SHARP EV AI Chatbot</w:t>
      </w:r>
    </w:p>
    <w:p>
      <w:pPr>
        <w:pStyle w:val="Heading2"/>
        <w:jc w:val="center"/>
      </w:pPr>
      <w:r>
        <w:rPr>
          <w:color w:val="2E74B5"/>
        </w:rPr>
        <w:t>Solution Architect — Requirements Gathering Questionnaire</w:t>
      </w:r>
    </w:p>
    <w:p>
      <w:pPr>
        <w:jc w:val="center"/>
      </w:pPr>
      <w:r>
        <w:rPr>
          <w:i/>
          <w:color w:val="707070"/>
          <w:sz w:val="18"/>
        </w:rPr>
        <w:t>Role: Solution Architect / Requirements Analyst   |   Date: 2026-06-16   |   Version: 2.0   |   Confidential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BF3FB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r>
              <w:rPr>
                <w:b/>
                <w:color w:val="1F497D"/>
                <w:sz w:val="18"/>
              </w:rPr>
              <w:t xml:space="preserve">Objective: </w:t>
            </w:r>
            <w:r>
              <w:rPr>
                <w:sz w:val="18"/>
              </w:rPr>
              <w:t>Consolidated questions derived from SHARP EV RFQ slide deck (pages 13–17). Similar topics have been merged for brevity. Goal: resolve all TBD values, confirm integration touchpoints, clarify performance thresholds, and define compliance boundaries before architecture scoping begins.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 xml:space="preserve">  1.  Scope &amp; Delivery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9EC"/>
            <w:tcBorders>
              <w:top w:val="single" w:sz="4" w:space="0" w:color="E0A800"/>
              <w:left w:val="single" w:sz="4" w:space="0" w:color="E0A800"/>
              <w:bottom w:val="single" w:sz="4" w:space="0" w:color="E0A800"/>
              <w:right w:val="single" w:sz="4" w:space="0" w:color="E0A800"/>
            </w:tcBorders>
          </w:tcPr>
          <w:p>
            <w:r>
              <w:rPr>
                <w:b/>
                <w:color w:val="856004"/>
                <w:sz w:val="16"/>
              </w:rPr>
              <w:t xml:space="preserve">Slide reference: </w:t>
            </w:r>
            <w:r>
              <w:rPr>
                <w:i/>
                <w:color w:val="856004"/>
                <w:sz w:val="16"/>
              </w:rPr>
              <w:t>Slide 13 — Functional Overview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216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288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Architect's Rationale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Q1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Should all 4 modules (Self-diagnosis, EV Usage Consultation, Chat, General Automotive Guidance) launch together in v1, or is a phased rollout acceptable? Should they appear as one unified chatbot or separate selectable modes?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Drives MVP scope, release plan, and UI navigation architecture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Q2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For Self-diagnosis: does the vehicle-to-cloud data pipeline (fault codes, telemetry) already exist as a live API, or does it need to be built? What data format/protocol is used?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If the pipeline doesn't exist, it is the critical path blocker for this entire module</w:t>
            </w:r>
          </w:p>
        </w:tc>
      </w:tr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Q3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Which EV models and variants must be supported in v1, and is the SHARP EV manual available in machine-readable format (not scanned PDF)?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Model count determines KB complexity; scanned PDFs add significant OCR pre-processing effort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Q4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For General Chat and General Automotive Guidance — should both be restricted to EV/automotive topics only, and is there an existing licensed automotive knowledge base, or must content be sourced from scratch?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Topic scope defines LLM guardrails; KB availability determines build vs. buy decision</w:t>
            </w:r>
          </w:p>
        </w:tc>
      </w:tr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Q5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When a user query spans multiple modules (e.g., a usage question leads into fault diagnosis), how should the chatbot handle the transition — seamlessly or with an explicit mode switch?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Defines context-sharing and cross-module handoff logic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0695E"/>
          </w:tcPr>
          <w:p>
            <w:r>
              <w:rPr>
                <w:b/>
                <w:color w:val="FFFFFF"/>
                <w:sz w:val="22"/>
              </w:rPr>
              <w:t xml:space="preserve">  2.  Existing Assets &amp; Reference Products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9EC"/>
            <w:tcBorders>
              <w:top w:val="single" w:sz="4" w:space="0" w:color="E0A800"/>
              <w:left w:val="single" w:sz="4" w:space="0" w:color="E0A800"/>
              <w:bottom w:val="single" w:sz="4" w:space="0" w:color="E0A800"/>
              <w:right w:val="single" w:sz="4" w:space="0" w:color="E0A800"/>
            </w:tcBorders>
          </w:tcPr>
          <w:p>
            <w:r>
              <w:rPr>
                <w:b/>
                <w:color w:val="856004"/>
                <w:sz w:val="16"/>
              </w:rPr>
              <w:t xml:space="preserve">Slide reference: </w:t>
            </w:r>
            <w:r>
              <w:rPr>
                <w:i/>
                <w:color w:val="856004"/>
                <w:sz w:val="16"/>
              </w:rPr>
              <w:t>Slide 14 — Reference examples: SHARP CookTalk, COCORO HOME AI, Google Gemini, OpenAI ChatGPT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216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288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Architect's Rationale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0695E"/>
                <w:sz w:val="18"/>
              </w:rPr>
              <w:t>Q6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Can the backend AI infrastructure or SDK from COCORO HOME AI / CookTalk be reused for this project? What AI stack does it use (LLM provider, vector DB, orchestration layer)?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Reusing existing infrastructure significantly cuts build time and cost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0695E"/>
                <w:sz w:val="18"/>
              </w:rPr>
              <w:t>Q7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What worked well and what failed in CookTalk and COCORO HOME AI that should directly influence architecture or UX decisions on this project?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Prevents repeating past mistakes; surfaces institutional knowledge upfront</w:t>
            </w:r>
          </w:p>
        </w:tc>
      </w:tr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0695E"/>
                <w:sz w:val="18"/>
              </w:rPr>
              <w:t>Q8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Should the EV chatbot follow COCORO HOME AI's design language and avatar persona, or is a distinct SHARP EV brand identity and voice character required?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Design system reuse vs. new design effort; affects TTS voice selection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0695E"/>
                <w:sz w:val="18"/>
              </w:rPr>
              <w:t>Q9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Does SHARP have existing enterprise API contracts with OpenAI or Google? Are Gemini and ChatGPT shown as a quality benchmark to match, or as mandatory vendor choices?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Existing contracts unlock pricing and DPA; vendor mandate vs. benchmark changes LLM selection freedom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C5500C"/>
          </w:tcPr>
          <w:p>
            <w:r>
              <w:rPr>
                <w:b/>
                <w:color w:val="FFFFFF"/>
                <w:sz w:val="22"/>
              </w:rPr>
              <w:t xml:space="preserve">  3.  Authentication, Voice &amp; UX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9EC"/>
            <w:tcBorders>
              <w:top w:val="single" w:sz="4" w:space="0" w:color="E0A800"/>
              <w:left w:val="single" w:sz="4" w:space="0" w:color="E0A800"/>
              <w:bottom w:val="single" w:sz="4" w:space="0" w:color="E0A800"/>
              <w:right w:val="single" w:sz="4" w:space="0" w:color="E0A800"/>
            </w:tcBorders>
          </w:tcPr>
          <w:p>
            <w:r>
              <w:rPr>
                <w:b/>
                <w:color w:val="856004"/>
                <w:sz w:val="16"/>
              </w:rPr>
              <w:t xml:space="preserve">Slide reference: </w:t>
            </w:r>
            <w:r>
              <w:rPr>
                <w:i/>
                <w:color w:val="856004"/>
                <w:sz w:val="16"/>
              </w:rPr>
              <w:t>Slide 15 — UX Requirements: COCORO MEMBERS ID, Voice Interaction, Processing indicator, TTS assets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216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288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Architect's Rationale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5500C"/>
                <w:sz w:val="18"/>
              </w:rPr>
              <w:t>Q10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Please share the COCORO MEMBERS ID OAuth/SSO API specification. Is login mandatory for all features, or is guest/anonymous access permitted for limited use? What are the session token lifespan and refresh rules?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Auth spec is required before any backend work begins; guest access affects onboarding design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5500C"/>
                <w:sz w:val="18"/>
              </w:rPr>
              <w:t>Q11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Voice interaction should remain active for 'a certain period' (TBD) — what is the specific auto-deactivation timeout after silence? Should manual disable be a UI toggle, a voice command, or both?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TBD value must be confirmed to implement the voice session timer correctly</w:t>
            </w:r>
          </w:p>
        </w:tc>
      </w:tr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5500C"/>
                <w:sz w:val="18"/>
              </w:rPr>
              <w:t>Q12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For TTS voice response: what is the approved monthly budget, preferred voice character (gender, tone, Japanese/multilingual), and should it match the COCORO HOME AI voice? Are existing SHARP brand audio/animation assets available for the processing indicator?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Budget determines TTS provider; brand assets avoid duplicating design work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5500C"/>
                <w:sz w:val="18"/>
              </w:rPr>
              <w:t>Q13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When responding to a voice query, should the text transcript always be shown alongside the audio, or is audio-only acceptable?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Accessibility and comprehension requirement — also affects UI layout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7B2C9E"/>
          </w:tcPr>
          <w:p>
            <w:r>
              <w:rPr>
                <w:b/>
                <w:color w:val="FFFFFF"/>
                <w:sz w:val="22"/>
              </w:rPr>
              <w:t xml:space="preserve">  4.  Server Functional — TBD Values &amp; Security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9EC"/>
            <w:tcBorders>
              <w:top w:val="single" w:sz="4" w:space="0" w:color="E0A800"/>
              <w:left w:val="single" w:sz="4" w:space="0" w:color="E0A800"/>
              <w:bottom w:val="single" w:sz="4" w:space="0" w:color="E0A800"/>
              <w:right w:val="single" w:sz="4" w:space="0" w:color="E0A800"/>
            </w:tcBorders>
          </w:tcPr>
          <w:p>
            <w:r>
              <w:rPr>
                <w:b/>
                <w:color w:val="856004"/>
                <w:sz w:val="16"/>
              </w:rPr>
              <w:t xml:space="preserve">Slide reference: </w:t>
            </w:r>
            <w:r>
              <w:rPr>
                <w:i/>
                <w:color w:val="856004"/>
                <w:sz w:val="16"/>
              </w:rPr>
              <w:t>Slide 16 — Server Functional Requirement: Error handling, Data management, Security, Answer quality, Safeguards, Response design, Fault diagnosis, Speech recognition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216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288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Architect's Rationale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7B2C9E"/>
                <w:sz w:val="18"/>
              </w:rPr>
              <w:t>Q14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Error handling shows 'TBD' — please confirm: (a) max timeout for LLM response, (b) max timeout for vehicle data API, (c) number of retries and backoff strategy (fixed/exponential)?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Two separate timeouts needed — LLM (typically 5–30s) vs. vehicle API (1–5s); retry count affects cost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7B2C9E"/>
                <w:sz w:val="18"/>
              </w:rPr>
              <w:t>Q15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Conversation history must be stored (date/time, content, success/failure, error reason) — what is the retention period, and who has access: user only, SHARP internal teams, or support staff?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Retention period drives storage cost and Japan PIPA compliance; access control defines security model</w:t>
            </w:r>
          </w:p>
        </w:tc>
      </w:tr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7B2C9E"/>
                <w:sz w:val="18"/>
              </w:rPr>
              <w:t>Q16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Answer accuracy target is 'over XX%' and speech recognition is 'over XX%' — what are the specific percentage targets? How will accuracy be measured (human eval, automated benchmarks, user ratings)?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These are key acceptance criteria — both are TBD values that must be confirmed to set QA benchmarks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7B2C9E"/>
                <w:sz w:val="18"/>
              </w:rPr>
              <w:t>Q17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For security: (a) should ALL non-Japan IPs be blocked, or only suspicious ones? (b) what is the one-time token validity window for replay attack prevention? (c) what request rate (per minute/hour) triggers an abnormal usage block?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Blanket geo-block vs. anomaly detection are very different implementations; thresholds needed for rate-limiter</w:t>
            </w:r>
          </w:p>
        </w:tc>
      </w:tr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7B2C9E"/>
                <w:sz w:val="18"/>
              </w:rPr>
              <w:t>Q18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Response length is 'within XXX characters' (TBD) — what is the specific limit? For image responses with URLs, which domain should links point to (SHARP site, manual portal, dealer pages)?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Character limit affects LLM prompt design and truncation logic; URL domain defines content sourcing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7B2C9E"/>
                <w:sz w:val="18"/>
              </w:rPr>
              <w:t>Q19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Fault diagnosis should 'minimize questions to users' — what is the maximum number of clarifying questions allowed before delivering a diagnosis? Who authors the fallback response variants, and how many variants per scenario?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A specific cap (e.g., max 2 questions) is needed to implement the diagnostic flow; content ownership must be agreed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76D6D"/>
          </w:tcPr>
          <w:p>
            <w:r>
              <w:rPr>
                <w:b/>
                <w:color w:val="FFFFFF"/>
                <w:sz w:val="22"/>
              </w:rPr>
              <w:t xml:space="preserve">  5.  Non-Functional — Performance, Cost &amp; Compliance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9EC"/>
            <w:tcBorders>
              <w:top w:val="single" w:sz="4" w:space="0" w:color="E0A800"/>
              <w:left w:val="single" w:sz="4" w:space="0" w:color="E0A800"/>
              <w:bottom w:val="single" w:sz="4" w:space="0" w:color="E0A800"/>
              <w:right w:val="single" w:sz="4" w:space="0" w:color="E0A800"/>
            </w:tcBorders>
          </w:tcPr>
          <w:p>
            <w:r>
              <w:rPr>
                <w:b/>
                <w:color w:val="856004"/>
                <w:sz w:val="16"/>
              </w:rPr>
              <w:t xml:space="preserve">Slide reference: </w:t>
            </w:r>
            <w:r>
              <w:rPr>
                <w:i/>
                <w:color w:val="856004"/>
                <w:sz w:val="16"/>
              </w:rPr>
              <w:t>Slide 17 — Non-Functional Requirement: Performance, Concurrent Users, LLM, Ethics, Usage Limits, METI Guidelines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216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288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Architect's Rationale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76D6D"/>
                <w:sz w:val="18"/>
              </w:rPr>
              <w:t>Q20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Performance targets show 'XX seconds' — please confirm specific values for: (a) App → Server latency, (b) App → Full answer end-to-end. Is streaming output (text appears word-by-word) acceptable to improve perceived speed?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Both are TBD values critical for infra sizing; streaming can reduce perceived latency for slow LLM responses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76D6D"/>
                <w:sz w:val="18"/>
              </w:rPr>
              <w:t>Q21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Maximum concurrent users is 'XXXX' — what is the specific number, and is it Japan-only or global? What is the approved monthly budget for infrastructure and LLM API costs?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Concurrent users = #1 input for capacity planning; budget constrains architecture choices</w:t>
            </w:r>
          </w:p>
        </w:tc>
      </w:tr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76D6D"/>
                <w:sz w:val="18"/>
              </w:rPr>
              <w:t>Q22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Who from SHARP approves the final LLM model selection? Are there SHARP-internal AI ethics guidelines stricter than METI that must also be followed?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LLM sign-off process prevents vendor disputes; internal guidelines may tighten guardrail design scope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76D6D"/>
                <w:sz w:val="18"/>
              </w:rPr>
              <w:t>Q23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Usage limit is 'XX times/month' (TBD) — what is the specific cap per user? Should users receive a warning before cutoff (e.g., at 80%)? Are safety-critical modules like Self-diagnosis exempt from this limit?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All three are TBD values; throttling a safety/diagnosis feature raises liability concerns</w:t>
            </w:r>
          </w:p>
        </w:tc>
      </w:tr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76D6D"/>
                <w:sz w:val="18"/>
              </w:rPr>
              <w:t>Q24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Which version of METI AI Business Guidelines applies, and are there specific articles requiring documented compliance evidence? Is a formal legal sign-off required before go-live?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Specific METI version and articles determine compliance sprint scope; legal gate affects project timeline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76D6D"/>
                <w:sz w:val="18"/>
              </w:rPr>
              <w:t>Q25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What is the target go-live date, and is there a pilot/UAT phase before full launch?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Drives overall project timeline, release strategy, and sprint planning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C0392B"/>
          </w:tcPr>
          <w:p>
            <w:r>
              <w:rPr>
                <w:b/>
                <w:color w:val="FFFFFF"/>
                <w:sz w:val="22"/>
              </w:rPr>
              <w:t xml:space="preserve">  6.  Open Items &amp; Missing Information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9EC"/>
            <w:tcBorders>
              <w:top w:val="single" w:sz="4" w:space="0" w:color="E0A800"/>
              <w:left w:val="single" w:sz="4" w:space="0" w:color="E0A800"/>
              <w:bottom w:val="single" w:sz="4" w:space="0" w:color="E0A800"/>
              <w:right w:val="single" w:sz="4" w:space="0" w:color="E0A800"/>
            </w:tcBorders>
          </w:tcPr>
          <w:p>
            <w:r>
              <w:rPr>
                <w:b/>
                <w:color w:val="856004"/>
                <w:sz w:val="16"/>
              </w:rPr>
              <w:t xml:space="preserve">Slide reference: </w:t>
            </w:r>
            <w:r>
              <w:rPr>
                <w:i/>
                <w:color w:val="856004"/>
                <w:sz w:val="16"/>
              </w:rPr>
              <w:t>Gaps identified across slides 13–17 of the 18-page RFQ deck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216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288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Architect's Rationale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Q26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The RFQ deck is 18 pages — we have reviewed pages 13–17. Can you share the complete deck (pages 1–12 and page 18) for full context?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Earlier slides likely contain project background, budget, timeline, and architecture constraints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Q27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Is there a deployment architecture diagram (cloud provider, region, network topology)? Are any vendor API contracts (cloud, LLM, vehicle telemetry) already signed?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Signed contracts constrain or enable specific technical choices; region drives data residency compliance</w:t>
            </w:r>
          </w:p>
        </w:tc>
      </w:tr>
      <w:tr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Q28</w:t>
            </w:r>
          </w:p>
        </w:tc>
        <w:tc>
          <w:tcPr>
            <w:tcW w:type="dxa" w:w="521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Are there UI/UX mockups or wireframes for the chatbot beyond the reference screenshots shown?</w:t>
            </w:r>
          </w:p>
        </w:tc>
        <w:tc>
          <w:tcPr>
            <w:tcW w:type="dxa" w:w="328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Without mockups, UI development requires a separate design discovery phase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Q29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9"/>
              </w:rPr>
              <w:t>Who is the SHARP-side decision-making authority for scope changes and approvals? What are the UAT acceptance criteria and pass/fail definitions for each module?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505050"/>
                <w:sz w:val="17"/>
              </w:rPr>
              <w:t>Single point of sign-off prevents scope creep; UAT criteria define the delivery finish line</w:t>
            </w:r>
          </w:p>
        </w:tc>
      </w:tr>
    </w:tbl>
    <w:p/>
    <w:p>
      <w:pPr>
        <w:jc w:val="center"/>
      </w:pPr>
      <w:r>
        <w:rPr>
          <w:i/>
          <w:color w:val="909090"/>
          <w:sz w:val="16"/>
        </w:rPr>
        <w:t>Total: 29 questions across 6 sections   |   Based on SHARP EV RFQ Slides 13–17   |   Confidential — Solution Architect Working Document   |   v2.0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