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2" w:lineRule="auto"/>
        <w:jc w:val="center"/>
      </w:pPr>
      <w:r>
        <w:rPr>
          <w:rFonts w:ascii="Aptos" w:hAnsi="Aptos"/>
          <w:b/>
          <w:sz w:val="36"/>
        </w:rPr>
        <w:t>BLUESTOCK FINTECH INTERNSHIP – WEEK 2</w:t>
      </w:r>
    </w:p>
    <w:p>
      <w:pPr>
        <w:spacing w:after="100" w:line="252" w:lineRule="auto"/>
        <w:jc w:val="center"/>
      </w:pPr>
      <w:r>
        <w:rPr>
          <w:rFonts w:ascii="Aptos" w:hAnsi="Aptos"/>
          <w:b/>
          <w:sz w:val="30"/>
        </w:rPr>
        <w:t>FinTech Business Understanding: Zerodha</w:t>
      </w:r>
    </w:p>
    <w:p>
      <w:pPr>
        <w:spacing w:after="100" w:line="252" w:lineRule="auto"/>
        <w:jc w:val="center"/>
      </w:pPr>
      <w:r>
        <w:rPr>
          <w:sz w:val="19"/>
        </w:rPr>
        <w:t>Prepared for: Bluestock FinTech Internship – Week 2</w:t>
      </w:r>
    </w:p>
    <w:p>
      <w:pPr>
        <w:spacing w:after="100" w:line="252" w:lineRule="auto"/>
        <w:jc w:val="center"/>
      </w:pPr>
      <w:r>
        <w:rPr>
          <w:rFonts w:ascii="Aptos" w:hAnsi="Aptos"/>
          <w:i/>
        </w:rPr>
        <w:t>How data analytics supports customer experience, product decisions and operational reliability</w:t>
      </w:r>
    </w:p>
    <w:p>
      <w:pPr>
        <w:pStyle w:val="Heading1"/>
        <w:spacing w:after="100" w:line="252" w:lineRule="auto"/>
      </w:pPr>
      <w:r>
        <w:t>1. Platform Overview</w:t>
      </w:r>
    </w:p>
    <w:p>
      <w:pPr>
        <w:spacing w:after="100" w:line="252" w:lineRule="auto"/>
      </w:pPr>
      <w:r>
        <w:t>Zerodha is an Indian stockbroker and FinTech company. Its main products include Kite, the trading platform, and Console, which provides portfolio and reporting features. It is a good example for this study because a brokerage platform handles large amounts of financial, trading and operational data every day.</w:t>
      </w:r>
    </w:p>
    <w:p>
      <w:pPr>
        <w:pStyle w:val="Heading1"/>
        <w:spacing w:after="100" w:line="252" w:lineRule="auto"/>
      </w:pPr>
      <w:r>
        <w:t>2. Types of Data Generated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40"/>
            </w:pPr>
            <w:r>
              <w:rPr>
                <w:rFonts w:ascii="Aptos" w:hAnsi="Aptos"/>
                <w:sz w:val="19"/>
              </w:rPr>
              <w:t>Data category</w:t>
            </w:r>
          </w:p>
        </w:tc>
        <w:tc>
          <w:tcPr>
            <w:tcW w:type="dxa" w:w="5112"/>
            <w:vAlign w:val="center"/>
          </w:tcPr>
          <w:p>
            <w:pPr>
              <w:spacing w:after="40"/>
            </w:pPr>
            <w:r>
              <w:rPr>
                <w:rFonts w:ascii="Aptos" w:hAnsi="Aptos"/>
                <w:sz w:val="19"/>
              </w:rPr>
              <w:t>Examples / purpose</w:t>
            </w:r>
          </w:p>
        </w:tc>
      </w:tr>
      <w:tr>
        <w:tc>
          <w:tcPr>
            <w:tcW w:type="dxa" w:w="5112"/>
            <w:vAlign w:val="center"/>
          </w:tcPr>
          <w:p>
            <w:pPr>
              <w:spacing w:after="40"/>
            </w:pPr>
            <w:r>
              <w:rPr>
                <w:rFonts w:ascii="Aptos" w:hAnsi="Aptos"/>
                <w:sz w:val="19"/>
              </w:rPr>
              <w:t>Account data</w:t>
            </w:r>
          </w:p>
        </w:tc>
        <w:tc>
          <w:tcPr>
            <w:tcW w:type="dxa" w:w="5112"/>
            <w:vAlign w:val="center"/>
          </w:tcPr>
          <w:p>
            <w:pPr>
              <w:spacing w:after="40"/>
            </w:pPr>
            <w:r>
              <w:rPr>
                <w:rFonts w:ascii="Aptos" w:hAnsi="Aptos"/>
                <w:sz w:val="19"/>
              </w:rPr>
              <w:t>Account and KYC-related information used for verification, service delivery and regulatory purposes.</w:t>
            </w:r>
          </w:p>
        </w:tc>
      </w:tr>
      <w:tr>
        <w:tc>
          <w:tcPr>
            <w:tcW w:type="dxa" w:w="5112"/>
            <w:vAlign w:val="center"/>
          </w:tcPr>
          <w:p>
            <w:pPr>
              <w:spacing w:after="40"/>
            </w:pPr>
            <w:r>
              <w:rPr>
                <w:rFonts w:ascii="Aptos" w:hAnsi="Aptos"/>
                <w:sz w:val="19"/>
              </w:rPr>
              <w:t>Trading data</w:t>
            </w:r>
          </w:p>
        </w:tc>
        <w:tc>
          <w:tcPr>
            <w:tcW w:type="dxa" w:w="5112"/>
            <w:vAlign w:val="center"/>
          </w:tcPr>
          <w:p>
            <w:pPr>
              <w:spacing w:after="40"/>
            </w:pPr>
            <w:r>
              <w:rPr>
                <w:rFonts w:ascii="Aptos" w:hAnsi="Aptos"/>
                <w:sz w:val="19"/>
              </w:rPr>
              <w:t>Orders, executed trades, holdings, positions, charges and transaction history.</w:t>
            </w:r>
          </w:p>
        </w:tc>
      </w:tr>
      <w:tr>
        <w:tc>
          <w:tcPr>
            <w:tcW w:type="dxa" w:w="5112"/>
            <w:vAlign w:val="center"/>
          </w:tcPr>
          <w:p>
            <w:pPr>
              <w:spacing w:after="40"/>
            </w:pPr>
            <w:r>
              <w:rPr>
                <w:rFonts w:ascii="Aptos" w:hAnsi="Aptos"/>
                <w:sz w:val="19"/>
              </w:rPr>
              <w:t>Market data</w:t>
            </w:r>
          </w:p>
        </w:tc>
        <w:tc>
          <w:tcPr>
            <w:tcW w:type="dxa" w:w="5112"/>
            <w:vAlign w:val="center"/>
          </w:tcPr>
          <w:p>
            <w:pPr>
              <w:spacing w:after="40"/>
            </w:pPr>
            <w:r>
              <w:rPr>
                <w:rFonts w:ascii="Aptos" w:hAnsi="Aptos"/>
                <w:sz w:val="19"/>
              </w:rPr>
              <w:t>Prices and other market information used by trading and research features.</w:t>
            </w:r>
          </w:p>
        </w:tc>
      </w:tr>
      <w:tr>
        <w:tc>
          <w:tcPr>
            <w:tcW w:type="dxa" w:w="5112"/>
            <w:vAlign w:val="center"/>
          </w:tcPr>
          <w:p>
            <w:pPr>
              <w:spacing w:after="40"/>
            </w:pPr>
            <w:r>
              <w:rPr>
                <w:rFonts w:ascii="Aptos" w:hAnsi="Aptos"/>
                <w:sz w:val="19"/>
              </w:rPr>
              <w:t>Portfolio data</w:t>
            </w:r>
          </w:p>
        </w:tc>
        <w:tc>
          <w:tcPr>
            <w:tcW w:type="dxa" w:w="5112"/>
            <w:vAlign w:val="center"/>
          </w:tcPr>
          <w:p>
            <w:pPr>
              <w:spacing w:after="40"/>
            </w:pPr>
            <w:r>
              <w:rPr>
                <w:rFonts w:ascii="Aptos" w:hAnsi="Aptos"/>
                <w:sz w:val="19"/>
              </w:rPr>
              <w:t>Holdings, P&amp;L, corporate actions, splits and transfers used for portfolio analysis and reporting.</w:t>
            </w:r>
          </w:p>
        </w:tc>
      </w:tr>
      <w:tr>
        <w:tc>
          <w:tcPr>
            <w:tcW w:type="dxa" w:w="5112"/>
            <w:vAlign w:val="center"/>
          </w:tcPr>
          <w:p>
            <w:pPr>
              <w:spacing w:after="40"/>
            </w:pPr>
            <w:r>
              <w:rPr>
                <w:rFonts w:ascii="Aptos" w:hAnsi="Aptos"/>
                <w:sz w:val="19"/>
              </w:rPr>
              <w:t>Operational data</w:t>
            </w:r>
          </w:p>
        </w:tc>
        <w:tc>
          <w:tcPr>
            <w:tcW w:type="dxa" w:w="5112"/>
            <w:vAlign w:val="center"/>
          </w:tcPr>
          <w:p>
            <w:pPr>
              <w:spacing w:after="40"/>
            </w:pPr>
            <w:r>
              <w:rPr>
                <w:rFonts w:ascii="Aptos" w:hAnsi="Aptos"/>
                <w:sz w:val="19"/>
              </w:rPr>
              <w:t>Application and HTTP logs used for monitoring, troubleshooting and infrastructure decisions.</w:t>
            </w:r>
          </w:p>
        </w:tc>
      </w:tr>
    </w:tbl>
    <w:p>
      <w:pPr>
        <w:pStyle w:val="Heading1"/>
        <w:spacing w:after="100" w:line="252" w:lineRule="auto"/>
      </w:pPr>
      <w:r>
        <w:t>3. Customer Experience: Portfolio Analytics</w:t>
      </w:r>
    </w:p>
    <w:p>
      <w:pPr>
        <w:spacing w:after="100" w:line="252" w:lineRule="auto"/>
      </w:pPr>
      <w:r>
        <w:t>Zerodha's Console provides portfolio analytics that helps users understand their exposure across assets, sectors and market capitalisation. Instead of calculating these figures manually, users can view the information directly through the platform.</w:t>
      </w:r>
    </w:p>
    <w:p>
      <w:pPr>
        <w:spacing w:after="100" w:line="252" w:lineRule="auto"/>
      </w:pPr>
      <w:r>
        <w:t>Flow: Portfolio holdings → aggregation → exposure metrics → visualisation → customer decision support.</w:t>
      </w:r>
    </w:p>
    <w:p>
      <w:pPr>
        <w:pStyle w:val="Heading1"/>
        <w:spacing w:after="100" w:line="252" w:lineRule="auto"/>
      </w:pPr>
      <w:r>
        <w:t>4. Customer Experience: Risk Nudges</w:t>
      </w:r>
    </w:p>
    <w:p>
      <w:pPr>
        <w:spacing w:after="100" w:line="252" w:lineRule="auto"/>
      </w:pPr>
      <w:r>
        <w:t>Zerodha's Nudge system uses trade and portfolio information to warn users about certain risks, including risky or highly concentrated positions. This is a practical example of analytics being used at the point where a customer is making a decision.</w:t>
      </w:r>
    </w:p>
    <w:p>
      <w:pPr>
        <w:spacing w:after="100" w:line="252" w:lineRule="auto"/>
      </w:pPr>
      <w:r>
        <w:t>Flow: User places order → trade/portfolio information is evaluated → risk condition identified → warning/nudge → user can reconsider.</w:t>
      </w:r>
    </w:p>
    <w:p>
      <w:pPr>
        <w:pStyle w:val="Heading1"/>
        <w:spacing w:after="100" w:line="252" w:lineRule="auto"/>
      </w:pPr>
      <w:r>
        <w:t>5. Financial Reporting and True P&amp;L</w:t>
      </w:r>
    </w:p>
    <w:p>
      <w:pPr>
        <w:spacing w:after="100" w:line="252" w:lineRule="auto"/>
      </w:pPr>
      <w:r>
        <w:t>Console processes historical trading information to calculate portfolio profit and loss while accounting for events such as corporate actions, splits and transfers. This produces reporting that is more useful than a simple buy-price versus sell-price calculation.</w:t>
      </w:r>
    </w:p>
    <w:p>
      <w:pPr>
        <w:spacing w:after="100" w:line="252" w:lineRule="auto"/>
      </w:pPr>
      <w:r>
        <w:t>Flow: Trades + corporate actions + transfers → historical processing → P&amp;L calculations → reports and tax-related outputs.</w:t>
      </w:r>
    </w:p>
    <w:p>
      <w:pPr>
        <w:pStyle w:val="Heading1"/>
        <w:spacing w:after="100" w:line="252" w:lineRule="auto"/>
      </w:pPr>
      <w:r>
        <w:t>6. Operational Analytics and Reliability</w:t>
      </w:r>
    </w:p>
    <w:p>
      <w:pPr>
        <w:spacing w:after="100" w:line="252" w:lineRule="auto"/>
      </w:pPr>
      <w:r>
        <w:t>Zerodha's engineering teams also analyse application and HTTP logs. Zerodha has described a logging setup using Vector and ClickHouse, with Metabase used to query the data. This helps the team investigate errors, performance issues and other problems in the platform.</w:t>
      </w:r>
    </w:p>
    <w:p>
      <w:pPr>
        <w:spacing w:after="100" w:line="252" w:lineRule="auto"/>
      </w:pPr>
      <w:r>
        <w:t>Flow: Application activity → logs → centralised storage → queries/monitoring → problem detection → engineering action.</w:t>
      </w:r>
    </w:p>
    <w:p>
      <w:pPr>
        <w:pStyle w:val="Heading1"/>
        <w:spacing w:after="100" w:line="252" w:lineRule="auto"/>
      </w:pPr>
      <w:r>
        <w:t>7. Business and Product Decision-Making</w:t>
      </w:r>
    </w:p>
    <w:p>
      <w:pPr>
        <w:spacing w:after="100" w:line="252" w:lineRule="auto"/>
      </w:pPr>
      <w:r>
        <w:t>The available public information shows several ways data can support product and engineering decisions. Portfolio analytics and risk nudges are customer-facing examples, while log analysis helps with platform reliability and infrastructure.</w:t>
      </w:r>
    </w:p>
    <w:p>
      <w:pPr>
        <w:spacing w:after="100" w:line="252" w:lineRule="auto"/>
      </w:pPr>
      <w:r>
        <w:t>One important point is that Zerodha has publicly stated that it does not use engagement tracking or revenue-driven A/B testing in its apps. Because internal analytics practices are not all publicly available, this report only includes uses of data that can be supported by Zerodha's published material.</w:t>
      </w:r>
    </w:p>
    <w:p>
      <w:pPr>
        <w:pStyle w:val="Heading1"/>
        <w:spacing w:after="100" w:line="252" w:lineRule="auto"/>
      </w:pPr>
      <w:r>
        <w:t>8. Overall Data Analytics Flow</w:t>
      </w:r>
    </w:p>
    <w:p>
      <w:pPr>
        <w:spacing w:after="100" w:line="252" w:lineRule="auto"/>
        <w:jc w:val="center"/>
      </w:pPr>
      <w:r>
        <w:rPr>
          <w:b/>
        </w:rPr>
        <w:t>Customer / Market Activity</w:t>
      </w:r>
    </w:p>
    <w:p>
      <w:pPr>
        <w:spacing w:after="100" w:line="252" w:lineRule="auto"/>
        <w:jc w:val="center"/>
      </w:pPr>
      <w:r>
        <w:rPr>
          <w:b w:val="0"/>
        </w:rPr>
        <w:t>↓</w:t>
      </w:r>
    </w:p>
    <w:p>
      <w:pPr>
        <w:spacing w:after="100" w:line="252" w:lineRule="auto"/>
        <w:jc w:val="center"/>
      </w:pPr>
      <w:r>
        <w:rPr>
          <w:b w:val="0"/>
        </w:rPr>
        <w:t>Orders • Trades • Holdings • Market Data • Account Data • Application Logs</w:t>
      </w:r>
    </w:p>
    <w:p>
      <w:pPr>
        <w:spacing w:after="100" w:line="252" w:lineRule="auto"/>
        <w:jc w:val="center"/>
      </w:pPr>
      <w:r>
        <w:rPr>
          <w:b w:val="0"/>
        </w:rPr>
        <w:t>↓</w:t>
      </w:r>
    </w:p>
    <w:p>
      <w:pPr>
        <w:spacing w:after="100" w:line="252" w:lineRule="auto"/>
        <w:jc w:val="center"/>
      </w:pPr>
      <w:r>
        <w:rPr>
          <w:b w:val="0"/>
        </w:rPr>
        <w:t>Data Processing / Aggregation / Risk Rules / Historical Calculations</w:t>
      </w:r>
    </w:p>
    <w:p>
      <w:pPr>
        <w:spacing w:after="100" w:line="252" w:lineRule="auto"/>
        <w:jc w:val="center"/>
      </w:pPr>
      <w:r>
        <w:rPr>
          <w:b w:val="0"/>
        </w:rPr>
        <w:t>↓</w:t>
      </w:r>
    </w:p>
    <w:p>
      <w:pPr>
        <w:spacing w:after="100" w:line="252" w:lineRule="auto"/>
        <w:jc w:val="center"/>
      </w:pPr>
      <w:r>
        <w:rPr>
          <w:b/>
        </w:rPr>
        <w:t>Analytics &amp; Insights</w:t>
      </w:r>
    </w:p>
    <w:p>
      <w:pPr>
        <w:spacing w:after="100" w:line="252" w:lineRule="auto"/>
        <w:jc w:val="center"/>
      </w:pPr>
      <w:r>
        <w:rPr>
          <w:b w:val="0"/>
        </w:rPr>
        <w:t>↓</w:t>
      </w:r>
    </w:p>
    <w:p>
      <w:pPr>
        <w:spacing w:after="100" w:line="252" w:lineRule="auto"/>
        <w:jc w:val="center"/>
      </w:pPr>
      <w:r>
        <w:rPr>
          <w:b w:val="0"/>
        </w:rPr>
        <w:t>Customer Experience  ↔  Product / Engineering Decisions</w:t>
      </w:r>
    </w:p>
    <w:p>
      <w:pPr>
        <w:pStyle w:val="Heading1"/>
        <w:spacing w:after="100" w:line="252" w:lineRule="auto"/>
      </w:pPr>
      <w:r>
        <w:t>9. Key Benefits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spacing w:after="40"/>
            </w:pPr>
            <w:r>
              <w:rPr>
                <w:rFonts w:ascii="Aptos" w:hAnsi="Aptos"/>
                <w:sz w:val="19"/>
              </w:rPr>
              <w:t>Area</w:t>
            </w:r>
          </w:p>
        </w:tc>
        <w:tc>
          <w:tcPr>
            <w:tcW w:type="dxa" w:w="3408"/>
            <w:vAlign w:val="center"/>
          </w:tcPr>
          <w:p>
            <w:pPr>
              <w:spacing w:after="40"/>
            </w:pPr>
            <w:r>
              <w:rPr>
                <w:rFonts w:ascii="Aptos" w:hAnsi="Aptos"/>
                <w:sz w:val="19"/>
              </w:rPr>
              <w:t>Analytics application</w:t>
            </w:r>
          </w:p>
        </w:tc>
        <w:tc>
          <w:tcPr>
            <w:tcW w:type="dxa" w:w="3408"/>
            <w:vAlign w:val="center"/>
          </w:tcPr>
          <w:p>
            <w:pPr>
              <w:spacing w:after="40"/>
            </w:pPr>
            <w:r>
              <w:rPr>
                <w:rFonts w:ascii="Aptos" w:hAnsi="Aptos"/>
                <w:sz w:val="19"/>
              </w:rPr>
              <w:t>Outcome</w:t>
            </w:r>
          </w:p>
        </w:tc>
      </w:tr>
      <w:tr>
        <w:tc>
          <w:tcPr>
            <w:tcW w:type="dxa" w:w="3408"/>
            <w:vAlign w:val="center"/>
          </w:tcPr>
          <w:p>
            <w:pPr>
              <w:spacing w:after="40"/>
            </w:pPr>
            <w:r>
              <w:rPr>
                <w:rFonts w:ascii="Aptos" w:hAnsi="Aptos"/>
                <w:sz w:val="19"/>
              </w:rPr>
              <w:t>Portfolio understanding</w:t>
            </w:r>
          </w:p>
        </w:tc>
        <w:tc>
          <w:tcPr>
            <w:tcW w:type="dxa" w:w="3408"/>
            <w:vAlign w:val="center"/>
          </w:tcPr>
          <w:p>
            <w:pPr>
              <w:spacing w:after="40"/>
            </w:pPr>
            <w:r>
              <w:rPr>
                <w:rFonts w:ascii="Aptos" w:hAnsi="Aptos"/>
                <w:sz w:val="19"/>
              </w:rPr>
              <w:t>Exposure aggregation and visualisation</w:t>
            </w:r>
          </w:p>
        </w:tc>
        <w:tc>
          <w:tcPr>
            <w:tcW w:type="dxa" w:w="3408"/>
            <w:vAlign w:val="center"/>
          </w:tcPr>
          <w:p>
            <w:pPr>
              <w:spacing w:after="40"/>
            </w:pPr>
            <w:r>
              <w:rPr>
                <w:rFonts w:ascii="Aptos" w:hAnsi="Aptos"/>
                <w:sz w:val="19"/>
              </w:rPr>
              <w:t>Customers understand diversification and concentration.</w:t>
            </w:r>
          </w:p>
        </w:tc>
      </w:tr>
      <w:tr>
        <w:tc>
          <w:tcPr>
            <w:tcW w:type="dxa" w:w="3408"/>
            <w:vAlign w:val="center"/>
          </w:tcPr>
          <w:p>
            <w:pPr>
              <w:spacing w:after="40"/>
            </w:pPr>
            <w:r>
              <w:rPr>
                <w:rFonts w:ascii="Aptos" w:hAnsi="Aptos"/>
                <w:sz w:val="19"/>
              </w:rPr>
              <w:t>Risk awareness</w:t>
            </w:r>
          </w:p>
        </w:tc>
        <w:tc>
          <w:tcPr>
            <w:tcW w:type="dxa" w:w="3408"/>
            <w:vAlign w:val="center"/>
          </w:tcPr>
          <w:p>
            <w:pPr>
              <w:spacing w:after="40"/>
            </w:pPr>
            <w:r>
              <w:rPr>
                <w:rFonts w:ascii="Aptos" w:hAnsi="Aptos"/>
                <w:sz w:val="19"/>
              </w:rPr>
              <w:t>Risk rules and nudges</w:t>
            </w:r>
          </w:p>
        </w:tc>
        <w:tc>
          <w:tcPr>
            <w:tcW w:type="dxa" w:w="3408"/>
            <w:vAlign w:val="center"/>
          </w:tcPr>
          <w:p>
            <w:pPr>
              <w:spacing w:after="40"/>
            </w:pPr>
            <w:r>
              <w:rPr>
                <w:rFonts w:ascii="Aptos" w:hAnsi="Aptos"/>
                <w:sz w:val="19"/>
              </w:rPr>
              <w:t>Customers receive contextual warnings before potentially risky actions.</w:t>
            </w:r>
          </w:p>
        </w:tc>
      </w:tr>
      <w:tr>
        <w:tc>
          <w:tcPr>
            <w:tcW w:type="dxa" w:w="3408"/>
            <w:vAlign w:val="center"/>
          </w:tcPr>
          <w:p>
            <w:pPr>
              <w:spacing w:after="40"/>
            </w:pPr>
            <w:r>
              <w:rPr>
                <w:rFonts w:ascii="Aptos" w:hAnsi="Aptos"/>
                <w:sz w:val="19"/>
              </w:rPr>
              <w:t>Financial reporting</w:t>
            </w:r>
          </w:p>
        </w:tc>
        <w:tc>
          <w:tcPr>
            <w:tcW w:type="dxa" w:w="3408"/>
            <w:vAlign w:val="center"/>
          </w:tcPr>
          <w:p>
            <w:pPr>
              <w:spacing w:after="40"/>
            </w:pPr>
            <w:r>
              <w:rPr>
                <w:rFonts w:ascii="Aptos" w:hAnsi="Aptos"/>
                <w:sz w:val="19"/>
              </w:rPr>
              <w:t>Historical trade and corporate-action processing</w:t>
            </w:r>
          </w:p>
        </w:tc>
        <w:tc>
          <w:tcPr>
            <w:tcW w:type="dxa" w:w="3408"/>
            <w:vAlign w:val="center"/>
          </w:tcPr>
          <w:p>
            <w:pPr>
              <w:spacing w:after="40"/>
            </w:pPr>
            <w:r>
              <w:rPr>
                <w:rFonts w:ascii="Aptos" w:hAnsi="Aptos"/>
                <w:sz w:val="19"/>
              </w:rPr>
              <w:t>More accurate P&amp;L and reporting.</w:t>
            </w:r>
          </w:p>
        </w:tc>
      </w:tr>
      <w:tr>
        <w:tc>
          <w:tcPr>
            <w:tcW w:type="dxa" w:w="3408"/>
            <w:vAlign w:val="center"/>
          </w:tcPr>
          <w:p>
            <w:pPr>
              <w:spacing w:after="40"/>
            </w:pPr>
            <w:r>
              <w:rPr>
                <w:rFonts w:ascii="Aptos" w:hAnsi="Aptos"/>
                <w:sz w:val="19"/>
              </w:rPr>
              <w:t>Platform reliability</w:t>
            </w:r>
          </w:p>
        </w:tc>
        <w:tc>
          <w:tcPr>
            <w:tcW w:type="dxa" w:w="3408"/>
            <w:vAlign w:val="center"/>
          </w:tcPr>
          <w:p>
            <w:pPr>
              <w:spacing w:after="40"/>
            </w:pPr>
            <w:r>
              <w:rPr>
                <w:rFonts w:ascii="Aptos" w:hAnsi="Aptos"/>
                <w:sz w:val="19"/>
              </w:rPr>
              <w:t>Log analysis and monitoring</w:t>
            </w:r>
          </w:p>
        </w:tc>
        <w:tc>
          <w:tcPr>
            <w:tcW w:type="dxa" w:w="3408"/>
            <w:vAlign w:val="center"/>
          </w:tcPr>
          <w:p>
            <w:pPr>
              <w:spacing w:after="40"/>
            </w:pPr>
            <w:r>
              <w:rPr>
                <w:rFonts w:ascii="Aptos" w:hAnsi="Aptos"/>
                <w:sz w:val="19"/>
              </w:rPr>
              <w:t>Faster detection and investigation of operational problems.</w:t>
            </w:r>
          </w:p>
        </w:tc>
      </w:tr>
      <w:tr>
        <w:tc>
          <w:tcPr>
            <w:tcW w:type="dxa" w:w="3408"/>
            <w:vAlign w:val="center"/>
          </w:tcPr>
          <w:p>
            <w:pPr>
              <w:spacing w:after="40"/>
            </w:pPr>
            <w:r>
              <w:rPr>
                <w:rFonts w:ascii="Aptos" w:hAnsi="Aptos"/>
                <w:sz w:val="19"/>
              </w:rPr>
              <w:t>Product / engineering</w:t>
            </w:r>
          </w:p>
        </w:tc>
        <w:tc>
          <w:tcPr>
            <w:tcW w:type="dxa" w:w="3408"/>
            <w:vAlign w:val="center"/>
          </w:tcPr>
          <w:p>
            <w:pPr>
              <w:spacing w:after="40"/>
            </w:pPr>
            <w:r>
              <w:rPr>
                <w:rFonts w:ascii="Aptos" w:hAnsi="Aptos"/>
                <w:sz w:val="19"/>
              </w:rPr>
              <w:t>Evidence from product and system data</w:t>
            </w:r>
          </w:p>
        </w:tc>
        <w:tc>
          <w:tcPr>
            <w:tcW w:type="dxa" w:w="3408"/>
            <w:vAlign w:val="center"/>
          </w:tcPr>
          <w:p>
            <w:pPr>
              <w:spacing w:after="40"/>
            </w:pPr>
            <w:r>
              <w:rPr>
                <w:rFonts w:ascii="Aptos" w:hAnsi="Aptos"/>
                <w:sz w:val="19"/>
              </w:rPr>
              <w:t>Better-informed product and infrastructure decisions.</w:t>
            </w:r>
          </w:p>
        </w:tc>
      </w:tr>
    </w:tbl>
    <w:p>
      <w:pPr>
        <w:pStyle w:val="Heading1"/>
        <w:spacing w:after="100" w:line="252" w:lineRule="auto"/>
      </w:pPr>
      <w:r>
        <w:t>10. Conclusion</w:t>
      </w:r>
    </w:p>
    <w:p>
      <w:pPr>
        <w:spacing w:after="100" w:line="252" w:lineRule="auto"/>
      </w:pPr>
      <w:r>
        <w:t>Zerodha shows how data analytics can be used at different levels of a FinTech business. Financial data can be turned into portfolio insights, P&amp;L reports and risk warnings, while operational data can help teams identify technical problems. For a Data Analyst, the main takeaway is that the useful part of data is not just collecting it, but cleaning, analysing and presenting it in a way that supports a clear decision.</w:t>
      </w:r>
    </w:p>
    <w:p>
      <w:pPr>
        <w:pStyle w:val="Heading1"/>
        <w:spacing w:after="100" w:line="252" w:lineRule="auto"/>
      </w:pPr>
      <w:r>
        <w:t>Sources</w:t>
      </w:r>
    </w:p>
    <w:p>
      <w:pPr>
        <w:spacing w:after="100" w:line="252" w:lineRule="auto"/>
      </w:pPr>
      <w:r>
        <w:rPr>
          <w:sz w:val="19"/>
        </w:rPr>
        <w:t>• Zerodha – Products</w:t>
      </w:r>
    </w:p>
    <w:p>
      <w:pPr>
        <w:spacing w:after="100" w:line="252" w:lineRule="auto"/>
      </w:pPr>
      <w:r>
        <w:rPr>
          <w:sz w:val="19"/>
        </w:rPr>
        <w:t>• Zerodha – Console</w:t>
      </w:r>
    </w:p>
    <w:p>
      <w:pPr>
        <w:spacing w:after="100" w:line="252" w:lineRule="auto"/>
      </w:pPr>
      <w:r>
        <w:rPr>
          <w:sz w:val="19"/>
        </w:rPr>
        <w:t>• Zerodha – Introducing Portfolio Analytics</w:t>
      </w:r>
    </w:p>
    <w:p>
      <w:pPr>
        <w:spacing w:after="100" w:line="252" w:lineRule="auto"/>
      </w:pPr>
      <w:r>
        <w:rPr>
          <w:sz w:val="19"/>
        </w:rPr>
        <w:t>• Zerodha Tech – User Disengagement</w:t>
      </w:r>
    </w:p>
    <w:p>
      <w:pPr>
        <w:spacing w:after="100" w:line="252" w:lineRule="auto"/>
      </w:pPr>
      <w:r>
        <w:rPr>
          <w:sz w:val="19"/>
        </w:rPr>
        <w:t>• Zerodha Tech – Logging at Zerodha</w:t>
      </w:r>
    </w:p>
    <w:p>
      <w:pPr>
        <w:spacing w:after="100" w:line="252" w:lineRule="auto"/>
      </w:pPr>
      <w:r>
        <w:rPr>
          <w:sz w:val="19"/>
        </w:rPr>
        <w:t>• Zerodha – Privacy Policy</w:t>
      </w:r>
    </w:p>
    <w:p>
      <w:pPr>
        <w:spacing w:after="100" w:line="252" w:lineRule="auto"/>
      </w:pPr>
      <w:r>
        <w:rPr>
          <w:sz w:val="19"/>
        </w:rPr>
        <w:t>• Zerodha Support – Kite Screener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Bluestock FinTech Internship – Week 2 | FinTech Research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