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Statement Analysis — Infosys Limited</w:t>
      </w:r>
    </w:p>
    <w:p>
      <w:r>
        <w:t>Consolidated IFRS financials | FY2026 vs FY2025 | ₹ crore unless stated</w:t>
      </w:r>
    </w:p>
    <w:p>
      <w:pPr>
        <w:pStyle w:val="Heading1"/>
      </w:pPr>
      <w:r>
        <w:t>1. Profit &amp; Loss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FY2025</w:t>
            </w:r>
          </w:p>
        </w:tc>
        <w:tc>
          <w:tcPr>
            <w:tcW w:type="dxa" w:w="2160"/>
          </w:tcPr>
          <w:p>
            <w:r>
              <w:t>FY2026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162,990</w:t>
            </w:r>
          </w:p>
        </w:tc>
        <w:tc>
          <w:tcPr>
            <w:tcW w:type="dxa" w:w="2160"/>
          </w:tcPr>
          <w:p>
            <w:r>
              <w:t>178,650</w:t>
            </w:r>
          </w:p>
        </w:tc>
        <w:tc>
          <w:tcPr>
            <w:tcW w:type="dxa" w:w="2160"/>
          </w:tcPr>
          <w:p>
            <w:r>
              <w:t>+9.6%</w:t>
            </w:r>
          </w:p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>
            <w:r>
              <w:t>49,643</w:t>
            </w:r>
          </w:p>
        </w:tc>
        <w:tc>
          <w:tcPr>
            <w:tcW w:type="dxa" w:w="2160"/>
          </w:tcPr>
          <w:p>
            <w:r>
              <w:t>53,915</w:t>
            </w:r>
          </w:p>
        </w:tc>
        <w:tc>
          <w:tcPr>
            <w:tcW w:type="dxa" w:w="2160"/>
          </w:tcPr>
          <w:p>
            <w:r>
              <w:t>+8.6%</w:t>
            </w:r>
          </w:p>
        </w:tc>
      </w:tr>
      <w:tr>
        <w:tc>
          <w:tcPr>
            <w:tcW w:type="dxa" w:w="2160"/>
          </w:tcPr>
          <w:p>
            <w:r>
              <w:t>Operating Profit</w:t>
            </w:r>
          </w:p>
        </w:tc>
        <w:tc>
          <w:tcPr>
            <w:tcW w:type="dxa" w:w="2160"/>
          </w:tcPr>
          <w:p>
            <w:r>
              <w:t>34,424</w:t>
            </w:r>
          </w:p>
        </w:tc>
        <w:tc>
          <w:tcPr>
            <w:tcW w:type="dxa" w:w="2160"/>
          </w:tcPr>
          <w:p>
            <w:r>
              <w:t>36,254</w:t>
            </w:r>
          </w:p>
        </w:tc>
        <w:tc>
          <w:tcPr>
            <w:tcW w:type="dxa" w:w="2160"/>
          </w:tcPr>
          <w:p>
            <w:r>
              <w:t>+5.3%</w:t>
            </w:r>
          </w:p>
        </w:tc>
      </w:tr>
      <w:tr>
        <w:tc>
          <w:tcPr>
            <w:tcW w:type="dxa" w:w="2160"/>
          </w:tcPr>
          <w:p>
            <w:r>
              <w:t>Profit Before Tax</w:t>
            </w:r>
          </w:p>
        </w:tc>
        <w:tc>
          <w:tcPr>
            <w:tcW w:type="dxa" w:w="2160"/>
          </w:tcPr>
          <w:p>
            <w:r>
              <w:t>37,608</w:t>
            </w:r>
          </w:p>
        </w:tc>
        <w:tc>
          <w:tcPr>
            <w:tcW w:type="dxa" w:w="2160"/>
          </w:tcPr>
          <w:p>
            <w:r>
              <w:t>39,995</w:t>
            </w:r>
          </w:p>
        </w:tc>
        <w:tc>
          <w:tcPr>
            <w:tcW w:type="dxa" w:w="2160"/>
          </w:tcPr>
          <w:p>
            <w:r>
              <w:t>+6.3%</w:t>
            </w:r>
          </w:p>
        </w:tc>
      </w:tr>
      <w:tr>
        <w:tc>
          <w:tcPr>
            <w:tcW w:type="dxa" w:w="2160"/>
          </w:tcPr>
          <w:p>
            <w:r>
              <w:t>Net Profit attributable to owners</w:t>
            </w:r>
          </w:p>
        </w:tc>
        <w:tc>
          <w:tcPr>
            <w:tcW w:type="dxa" w:w="2160"/>
          </w:tcPr>
          <w:p>
            <w:r>
              <w:t>26,713</w:t>
            </w:r>
          </w:p>
        </w:tc>
        <w:tc>
          <w:tcPr>
            <w:tcW w:type="dxa" w:w="2160"/>
          </w:tcPr>
          <w:p>
            <w:r>
              <w:t>29,440</w:t>
            </w:r>
          </w:p>
        </w:tc>
        <w:tc>
          <w:tcPr>
            <w:tcW w:type="dxa" w:w="2160"/>
          </w:tcPr>
          <w:p>
            <w:r>
              <w:t>+10.2%</w:t>
            </w:r>
          </w:p>
        </w:tc>
      </w:tr>
      <w:tr>
        <w:tc>
          <w:tcPr>
            <w:tcW w:type="dxa" w:w="2160"/>
          </w:tcPr>
          <w:p>
            <w:r>
              <w:t>Basic EPS</w:t>
            </w:r>
          </w:p>
        </w:tc>
        <w:tc>
          <w:tcPr>
            <w:tcW w:type="dxa" w:w="2160"/>
          </w:tcPr>
          <w:p>
            <w:r>
              <w:t>₹64.50</w:t>
            </w:r>
          </w:p>
        </w:tc>
        <w:tc>
          <w:tcPr>
            <w:tcW w:type="dxa" w:w="2160"/>
          </w:tcPr>
          <w:p>
            <w:r>
              <w:t>₹71.58</w:t>
            </w:r>
          </w:p>
        </w:tc>
        <w:tc>
          <w:tcPr>
            <w:tcW w:type="dxa" w:w="2160"/>
          </w:tcPr>
          <w:p>
            <w:r>
              <w:t>+11.0%</w:t>
            </w:r>
          </w:p>
        </w:tc>
      </w:tr>
    </w:tbl>
    <w:p>
      <w:r>
        <w:t>Key calculations: Revenue growth = (178,650 − 162,990) / 162,990 × 100 = 9.6%. Net profit margin = 29,440 / 178,650 × 100 = 16.48%; FY2025 margin = 26,713 / 162,990 × 100 = 16.39%.</w:t>
      </w:r>
    </w:p>
    <w:p>
      <w:r>
        <w:t>Insight: Revenue grew 9.6% and net profit attributable to owners grew 10.2%. Profit therefore grew slightly faster than revenue. However, operating profit grew only 5.3%, and reported operating margin declined from 21.1% to 20.3%, so the improvement in net profit should not be interpreted as broad operating-margin expansion.</w:t>
      </w:r>
    </w:p>
    <w:p>
      <w:pPr>
        <w:pStyle w:val="Heading1"/>
      </w:pPr>
      <w:r>
        <w:t>2. Balance Sheet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FY2025</w:t>
            </w:r>
          </w:p>
        </w:tc>
        <w:tc>
          <w:tcPr>
            <w:tcW w:type="dxa" w:w="2160"/>
          </w:tcPr>
          <w:p>
            <w:r>
              <w:t>FY2026</w:t>
            </w:r>
          </w:p>
        </w:tc>
        <w:tc>
          <w:tcPr>
            <w:tcW w:type="dxa" w:w="2160"/>
          </w:tcPr>
          <w:p>
            <w:r>
              <w:t>Change / observation</w:t>
            </w:r>
          </w:p>
        </w:tc>
      </w:tr>
      <w:tr>
        <w:tc>
          <w:tcPr>
            <w:tcW w:type="dxa" w:w="2160"/>
          </w:tcPr>
          <w:p>
            <w:r>
              <w:t>Cash &amp; cash equivalents</w:t>
            </w:r>
          </w:p>
        </w:tc>
        <w:tc>
          <w:tcPr>
            <w:tcW w:type="dxa" w:w="2160"/>
          </w:tcPr>
          <w:p>
            <w:r>
              <w:t>24,455</w:t>
            </w:r>
          </w:p>
        </w:tc>
        <w:tc>
          <w:tcPr>
            <w:tcW w:type="dxa" w:w="2160"/>
          </w:tcPr>
          <w:p>
            <w:r>
              <w:t>22,201</w:t>
            </w:r>
          </w:p>
        </w:tc>
        <w:tc>
          <w:tcPr>
            <w:tcW w:type="dxa" w:w="2160"/>
          </w:tcPr>
          <w:p>
            <w:r>
              <w:t>-9.2%</w:t>
            </w:r>
          </w:p>
        </w:tc>
      </w:tr>
      <w:tr>
        <w:tc>
          <w:tcPr>
            <w:tcW w:type="dxa" w:w="2160"/>
          </w:tcPr>
          <w:p>
            <w:r>
              <w:t>Current investments</w:t>
            </w:r>
          </w:p>
        </w:tc>
        <w:tc>
          <w:tcPr>
            <w:tcW w:type="dxa" w:w="2160"/>
          </w:tcPr>
          <w:p>
            <w:r>
              <w:t>12,482</w:t>
            </w:r>
          </w:p>
        </w:tc>
        <w:tc>
          <w:tcPr>
            <w:tcW w:type="dxa" w:w="2160"/>
          </w:tcPr>
          <w:p>
            <w:r>
              <w:t>12,950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</w:tr>
      <w:tr>
        <w:tc>
          <w:tcPr>
            <w:tcW w:type="dxa" w:w="2160"/>
          </w:tcPr>
          <w:p>
            <w:r>
              <w:t>Net current assets</w:t>
            </w:r>
          </w:p>
        </w:tc>
        <w:tc>
          <w:tcPr>
            <w:tcW w:type="dxa" w:w="2160"/>
          </w:tcPr>
          <w:p>
            <w:r>
              <w:t>54,249</w:t>
            </w:r>
          </w:p>
        </w:tc>
        <w:tc>
          <w:tcPr>
            <w:tcW w:type="dxa" w:w="2160"/>
          </w:tcPr>
          <w:p>
            <w:r>
              <w:t>51,167</w:t>
            </w:r>
          </w:p>
        </w:tc>
        <w:tc>
          <w:tcPr>
            <w:tcW w:type="dxa" w:w="2160"/>
          </w:tcPr>
          <w:p>
            <w:r>
              <w:t>Positive in both years</w:t>
            </w:r>
          </w:p>
        </w:tc>
      </w:tr>
      <w:tr>
        <w:tc>
          <w:tcPr>
            <w:tcW w:type="dxa" w:w="2160"/>
          </w:tcPr>
          <w:p>
            <w:r>
              <w:t>Total assets</w:t>
            </w:r>
          </w:p>
        </w:tc>
        <w:tc>
          <w:tcPr>
            <w:tcW w:type="dxa" w:w="2160"/>
          </w:tcPr>
          <w:p>
            <w:r>
              <w:t>148,903</w:t>
            </w:r>
          </w:p>
        </w:tc>
        <w:tc>
          <w:tcPr>
            <w:tcW w:type="dxa" w:w="2160"/>
          </w:tcPr>
          <w:p>
            <w:r>
              <w:t>155,967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</w:tr>
      <w:tr>
        <w:tc>
          <w:tcPr>
            <w:tcW w:type="dxa" w:w="2160"/>
          </w:tcPr>
          <w:p>
            <w:r>
              <w:t>Total equity</w:t>
            </w:r>
          </w:p>
        </w:tc>
        <w:tc>
          <w:tcPr>
            <w:tcW w:type="dxa" w:w="2160"/>
          </w:tcPr>
          <w:p>
            <w:r>
              <w:t>96,203</w:t>
            </w:r>
          </w:p>
        </w:tc>
        <w:tc>
          <w:tcPr>
            <w:tcW w:type="dxa" w:w="2160"/>
          </w:tcPr>
          <w:p>
            <w:r>
              <w:t>93,297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</w:tr>
      <w:tr>
        <w:tc>
          <w:tcPr>
            <w:tcW w:type="dxa" w:w="2160"/>
          </w:tcPr>
          <w:p>
            <w:r>
              <w:t>Non-current liabilities</w:t>
            </w:r>
          </w:p>
        </w:tc>
        <w:tc>
          <w:tcPr>
            <w:tcW w:type="dxa" w:w="2160"/>
          </w:tcPr>
          <w:p>
            <w:r>
              <w:t>9,850</w:t>
            </w:r>
          </w:p>
        </w:tc>
        <w:tc>
          <w:tcPr>
            <w:tcW w:type="dxa" w:w="2160"/>
          </w:tcPr>
          <w:p>
            <w:r>
              <w:t>10,348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</w:tr>
    </w:tbl>
    <w:p>
      <w:r>
        <w:t>Insight: Total assets increased 4.7% to ₹155,967 crore. Net current assets remained strongly positive at ₹51,167 crore. Total equity declined to ₹93,297 crore, reflecting distributions and the FY2026 share buyback alongside other equity movements.</w:t>
      </w:r>
    </w:p>
    <w:p>
      <w:pPr>
        <w:pStyle w:val="Heading1"/>
      </w:pPr>
      <w:r>
        <w:t>3. Cash Flow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Cash-flow area</w:t>
            </w:r>
          </w:p>
        </w:tc>
        <w:tc>
          <w:tcPr>
            <w:tcW w:type="dxa" w:w="2880"/>
          </w:tcPr>
          <w:p>
            <w:r>
              <w:t>FY2026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Operating activities</w:t>
            </w:r>
          </w:p>
        </w:tc>
        <w:tc>
          <w:tcPr>
            <w:tcW w:type="dxa" w:w="2880"/>
          </w:tcPr>
          <w:p>
            <w:r>
              <w:t>₹33,986 cr</w:t>
            </w:r>
          </w:p>
        </w:tc>
        <w:tc>
          <w:tcPr>
            <w:tcW w:type="dxa" w:w="2880"/>
          </w:tcPr>
          <w:p>
            <w:r>
              <w:t>Strong positive cash generation from operations</w:t>
            </w:r>
          </w:p>
        </w:tc>
      </w:tr>
      <w:tr>
        <w:tc>
          <w:tcPr>
            <w:tcW w:type="dxa" w:w="2880"/>
          </w:tcPr>
          <w:p>
            <w:r>
              <w:t>Investing activities</w:t>
            </w:r>
          </w:p>
        </w:tc>
        <w:tc>
          <w:tcPr>
            <w:tcW w:type="dxa" w:w="2880"/>
          </w:tcPr>
          <w:p>
            <w:r>
              <w:t>₹1,946 cr</w:t>
            </w:r>
          </w:p>
        </w:tc>
        <w:tc>
          <w:tcPr>
            <w:tcW w:type="dxa" w:w="2880"/>
          </w:tcPr>
          <w:p>
            <w:r>
              <w:t>Net positive investing cash flow</w:t>
            </w:r>
          </w:p>
        </w:tc>
      </w:tr>
      <w:tr>
        <w:tc>
          <w:tcPr>
            <w:tcW w:type="dxa" w:w="2880"/>
          </w:tcPr>
          <w:p>
            <w:r>
              <w:t>Financing activities</w:t>
            </w:r>
          </w:p>
        </w:tc>
        <w:tc>
          <w:tcPr>
            <w:tcW w:type="dxa" w:w="2880"/>
          </w:tcPr>
          <w:p>
            <w:r>
              <w:t>(₹39,786 cr)</w:t>
            </w:r>
          </w:p>
        </w:tc>
        <w:tc>
          <w:tcPr>
            <w:tcW w:type="dxa" w:w="2880"/>
          </w:tcPr>
          <w:p>
            <w:r>
              <w:t>Large outflow, including shareholder distributions/buyback</w:t>
            </w:r>
          </w:p>
        </w:tc>
      </w:tr>
      <w:tr>
        <w:tc>
          <w:tcPr>
            <w:tcW w:type="dxa" w:w="2880"/>
          </w:tcPr>
          <w:p>
            <w:r>
              <w:t>Free cash flow</w:t>
            </w:r>
          </w:p>
        </w:tc>
        <w:tc>
          <w:tcPr>
            <w:tcW w:type="dxa" w:w="2880"/>
          </w:tcPr>
          <w:p>
            <w:r>
              <w:t>₹33,097 cr</w:t>
            </w:r>
          </w:p>
        </w:tc>
        <w:tc>
          <w:tcPr>
            <w:tcW w:type="dxa" w:w="2880"/>
          </w:tcPr>
          <w:p>
            <w:r>
              <w:t>112.3% of net profit; strong cash conversion</w:t>
            </w:r>
          </w:p>
        </w:tc>
      </w:tr>
    </w:tbl>
    <w:p>
      <w:r>
        <w:t>Insight: Operating cash flow remained strong at ₹33,986 crore. The large financing outflow is consistent with significant shareholder distributions and the ₹18,000 crore buyback completed at ₹1,800 per share.</w:t>
      </w:r>
    </w:p>
    <w:p>
      <w:pPr>
        <w:pStyle w:val="Heading1"/>
      </w:pPr>
      <w:r>
        <w:t>4. Basic Ratios &amp; Per-Share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FY2026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Net profit margin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  <w:tc>
          <w:tcPr>
            <w:tcW w:type="dxa" w:w="2880"/>
          </w:tcPr>
          <w:p>
            <w:r>
              <w:t>Approximately ₹16.50 net profit per ₹100 revenue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31.6%</w:t>
            </w:r>
          </w:p>
        </w:tc>
        <w:tc>
          <w:tcPr>
            <w:tcW w:type="dxa" w:w="2880"/>
          </w:tcPr>
          <w:p>
            <w:r>
              <w:t>Strong return generated on shareholders' equity</w:t>
            </w:r>
          </w:p>
        </w:tc>
      </w:tr>
      <w:tr>
        <w:tc>
          <w:tcPr>
            <w:tcW w:type="dxa" w:w="2880"/>
          </w:tcPr>
          <w:p>
            <w:r>
              <w:t>Basic EPS</w:t>
            </w:r>
          </w:p>
        </w:tc>
        <w:tc>
          <w:tcPr>
            <w:tcW w:type="dxa" w:w="2880"/>
          </w:tcPr>
          <w:p>
            <w:r>
              <w:t>₹71.58</w:t>
            </w:r>
          </w:p>
        </w:tc>
        <w:tc>
          <w:tcPr>
            <w:tcW w:type="dxa" w:w="2880"/>
          </w:tcPr>
          <w:p>
            <w:r>
              <w:t>Earnings attributable per basic share</w:t>
            </w:r>
          </w:p>
        </w:tc>
      </w:tr>
      <w:tr>
        <w:tc>
          <w:tcPr>
            <w:tcW w:type="dxa" w:w="2880"/>
          </w:tcPr>
          <w:p>
            <w:r>
              <w:t>Dividend per share</w:t>
            </w:r>
          </w:p>
        </w:tc>
        <w:tc>
          <w:tcPr>
            <w:tcW w:type="dxa" w:w="2880"/>
          </w:tcPr>
          <w:p>
            <w:r>
              <w:t>₹48.00</w:t>
            </w:r>
          </w:p>
        </w:tc>
        <w:tc>
          <w:tcPr>
            <w:tcW w:type="dxa" w:w="2880"/>
          </w:tcPr>
          <w:p>
            <w:r>
              <w:t>Cash distribution per share</w:t>
            </w:r>
          </w:p>
        </w:tc>
      </w:tr>
      <w:tr>
        <w:tc>
          <w:tcPr>
            <w:tcW w:type="dxa" w:w="2880"/>
          </w:tcPr>
          <w:p>
            <w:r>
              <w:t>P/E, year-end</w:t>
            </w:r>
          </w:p>
        </w:tc>
        <w:tc>
          <w:tcPr>
            <w:tcW w:type="dxa" w:w="2880"/>
          </w:tcPr>
          <w:p>
            <w:r>
              <w:t>17.5×</w:t>
            </w:r>
          </w:p>
        </w:tc>
        <w:tc>
          <w:tcPr>
            <w:tcW w:type="dxa" w:w="2880"/>
          </w:tcPr>
          <w:p>
            <w:r>
              <w:t>Market price relative to EPS</w:t>
            </w:r>
          </w:p>
        </w:tc>
      </w:tr>
      <w:tr>
        <w:tc>
          <w:tcPr>
            <w:tcW w:type="dxa" w:w="2880"/>
          </w:tcPr>
          <w:p>
            <w:r>
              <w:t>Book value per share</w:t>
            </w:r>
          </w:p>
        </w:tc>
        <w:tc>
          <w:tcPr>
            <w:tcW w:type="dxa" w:w="2880"/>
          </w:tcPr>
          <w:p>
            <w:r>
              <w:t>₹229</w:t>
            </w:r>
          </w:p>
        </w:tc>
        <w:tc>
          <w:tcPr>
            <w:tcW w:type="dxa" w:w="2880"/>
          </w:tcPr>
          <w:p>
            <w:r>
              <w:t>Accounting book value per share</w:t>
            </w:r>
          </w:p>
        </w:tc>
      </w:tr>
    </w:tbl>
    <w:p>
      <w:r>
        <w:t>Insight: EPS increased 11.0% and dividend per share increased 11.6%. Year-end P/E fell from 24.4× in FY2025 to 17.5× in FY2026, while book value per share moved from ₹231 to ₹229. P/E should be interpreted relative to peers, growth expectations and historical valuation rather than as a standalone buy/sell signal.</w:t>
      </w:r>
    </w:p>
    <w:p>
      <w:pPr>
        <w:pStyle w:val="Heading1"/>
      </w:pPr>
      <w:r>
        <w:t>5. Overall Business Conclusion</w:t>
      </w:r>
    </w:p>
    <w:p>
      <w:r>
        <w:t>Infosys delivered healthy FY2026 revenue growth of 9.6% and net-profit growth of 10.2%. Net profit margin remained broadly stable at about 16.5%, while reported operating margin declined to 20.3%. The company generated strong operating cash flow of ₹33,986 crore and free cash flow of ₹33,097 crore. Liquidity remained strong, with ₹43,075 crore of consolidated cash and investments. The major financing outflow reflects substantial shareholder distributions and the completed ₹18,000 crore buyback. Overall, the statements show a profitable company with strong cash generation and solid liquidity, while operating-margin movement is an area worth monitoring.</w:t>
      </w:r>
    </w:p>
    <w:p>
      <w:pPr>
        <w:pStyle w:val="Heading1"/>
      </w:pPr>
      <w:r>
        <w:t>Sources</w:t>
      </w:r>
    </w:p>
    <w:p>
      <w:r>
        <w:t>Infosys Integrated Annual Report 2025–26; Infosys Three Year Overview (IFRS) Data Sheet, Balance Sheet Data, Balance Sheet Ratios and Per Share Data; Infosys FY2026 consolidated financial statements.</w:t>
      </w:r>
    </w:p>
    <w:p>
      <w:r>
        <w:t>All financial figures in this analysis are consolidated IFRS figures unless otherwise stated.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