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36.png" ContentType="image/png"/>
  <Override PartName="/word/media/rId76.png" ContentType="image/png"/>
  <Override PartName="/word/media/rId74.png" ContentType="image/png"/>
  <Override PartName="/word/media/rId7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Rede</w:t>
      </w:r>
      <w:r>
        <w:t xml:space="preserve"> </w:t>
      </w:r>
      <w:r>
        <w:t xml:space="preserve">“</w:t>
      </w:r>
      <w:r>
        <w:t xml:space="preserve">Raízes</w:t>
      </w:r>
      <w:r>
        <w:t xml:space="preserve"> </w:t>
      </w:r>
      <w:r>
        <w:t xml:space="preserve">do</w:t>
      </w:r>
      <w:r>
        <w:t xml:space="preserve"> </w:t>
      </w:r>
      <w:r>
        <w:t xml:space="preserve">Nordeste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Pedidos</w:t>
      </w:r>
      <w:r>
        <w:t xml:space="preserve"> </w:t>
      </w:r>
      <w:r>
        <w:t xml:space="preserve">Multicanal</w:t>
      </w:r>
    </w:p>
    <w:p>
      <w:pPr>
        <w:pStyle w:val="Subtitle"/>
      </w:pPr>
      <w:r>
        <w:t xml:space="preserve">Projeto</w:t>
      </w:r>
      <w:r>
        <w:t xml:space="preserve"> </w:t>
      </w:r>
      <w:r>
        <w:t xml:space="preserve">Multidisciplinar</w:t>
      </w:r>
      <w:r>
        <w:t xml:space="preserve"> </w:t>
      </w:r>
      <w:r>
        <w:t xml:space="preserve">—</w:t>
      </w:r>
      <w:r>
        <w:t xml:space="preserve"> </w:t>
      </w:r>
      <w:r>
        <w:t xml:space="preserve">Trilha</w:t>
      </w:r>
      <w:r>
        <w:t xml:space="preserve"> </w:t>
      </w:r>
      <w:r>
        <w:t xml:space="preserve">Back-end</w:t>
      </w:r>
    </w:p>
    <w:p>
      <w:pPr>
        <w:pStyle w:val="Author"/>
      </w:pPr>
      <w:r>
        <w:t xml:space="preserve">Ramon</w:t>
      </w:r>
      <w:r>
        <w:t xml:space="preserve"> </w:t>
      </w:r>
      <w:r>
        <w:t xml:space="preserve">De</w:t>
      </w:r>
      <w:r>
        <w:t xml:space="preserve"> </w:t>
      </w:r>
      <w:r>
        <w:t xml:space="preserve">Oliveira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Curso:</w:t>
      </w:r>
      <w:r>
        <w:t xml:space="preserve"> </w:t>
      </w:r>
      <w:r>
        <w:t xml:space="preserve">CST em Análise e Desenvolvimento de Sistemas</w:t>
      </w:r>
    </w:p>
    <w:p>
      <w:pPr>
        <w:pStyle w:val="BodyText"/>
      </w:pPr>
      <w:r>
        <w:rPr>
          <w:b/>
        </w:rPr>
        <w:t xml:space="preserve">Disciplina:</w:t>
      </w:r>
      <w:r>
        <w:t xml:space="preserve"> </w:t>
      </w:r>
      <w:r>
        <w:t xml:space="preserve">Projeto Multidisciplinar</w:t>
      </w:r>
    </w:p>
    <w:p>
      <w:pPr>
        <w:pStyle w:val="BodyText"/>
      </w:pPr>
      <w:r>
        <w:rPr>
          <w:b/>
        </w:rPr>
        <w:t xml:space="preserve">Aluno:</w:t>
      </w:r>
      <w:r>
        <w:t xml:space="preserve"> </w:t>
      </w:r>
      <w:r>
        <w:t xml:space="preserve">Ramon De Oliveira</w:t>
      </w:r>
    </w:p>
    <w:p>
      <w:pPr>
        <w:pStyle w:val="BodyText"/>
      </w:pPr>
      <w:r>
        <w:rPr>
          <w:b/>
        </w:rPr>
        <w:t xml:space="preserve">RU:</w:t>
      </w:r>
      <w:r>
        <w:t xml:space="preserve"> </w:t>
      </w:r>
      <w:r>
        <w:t xml:space="preserve">4904087</w:t>
      </w:r>
    </w:p>
    <w:p>
      <w:pPr>
        <w:pStyle w:val="BodyText"/>
      </w:pPr>
      <w:r>
        <w:rPr>
          <w:b/>
        </w:rPr>
        <w:t xml:space="preserve">Polo de apoio:</w:t>
      </w:r>
      <w:r>
        <w:t xml:space="preserve"> </w:t>
      </w:r>
      <w:r>
        <w:t xml:space="preserve">[PREENCHER]</w:t>
      </w:r>
    </w:p>
    <w:p>
      <w:pPr>
        <w:pStyle w:val="BodyText"/>
      </w:pPr>
      <w:r>
        <w:rPr>
          <w:b/>
        </w:rPr>
        <w:t xml:space="preserve">Semestre:</w:t>
      </w:r>
      <w:r>
        <w:t xml:space="preserve"> </w:t>
      </w:r>
      <w:r>
        <w:t xml:space="preserve">[PREENCHER]</w:t>
      </w:r>
    </w:p>
    <w:p>
      <w:pPr>
        <w:pStyle w:val="BodyText"/>
      </w:pPr>
      <w:r>
        <w:rPr>
          <w:b/>
        </w:rPr>
        <w:t xml:space="preserve">Professor:</w:t>
      </w:r>
      <w:r>
        <w:t xml:space="preserve"> </w:t>
      </w:r>
      <w:r>
        <w:t xml:space="preserve">[PREENCHER]</w:t>
      </w:r>
    </w:p>
    <w:p>
      <w:pPr>
        <w:pStyle w:val="Heading1"/>
      </w:pPr>
      <w:bookmarkStart w:id="20" w:name="introdução"/>
      <w:r>
        <w:t xml:space="preserve">1. Introdução</w:t>
      </w:r>
      <w:bookmarkEnd w:id="20"/>
    </w:p>
    <w:p>
      <w:pPr>
        <w:pStyle w:val="Heading2"/>
      </w:pPr>
      <w:bookmarkStart w:id="21" w:name="contexto"/>
      <w:r>
        <w:t xml:space="preserve">Contexto</w:t>
      </w:r>
      <w:bookmarkEnd w:id="21"/>
    </w:p>
    <w:p>
      <w:pPr>
        <w:pStyle w:val="FirstParagraph"/>
      </w:pPr>
      <w:r>
        <w:t xml:space="preserve">A Raízes do Nordeste é uma rede de lanchonetes de culinária nordestina que nasceu como um</w:t>
      </w:r>
      <w:r>
        <w:t xml:space="preserve"> </w:t>
      </w:r>
      <w:r>
        <w:t xml:space="preserve">negócio familiar em Recife e hoje está em expansão por capitais e cidades do interior do</w:t>
      </w:r>
      <w:r>
        <w:t xml:space="preserve"> </w:t>
      </w:r>
      <w:r>
        <w:t xml:space="preserve">Brasil. Com o crescimento, a empresa decidiu reestruturar seus sistemas para sustentar uma</w:t>
      </w:r>
      <w:r>
        <w:t xml:space="preserve"> </w:t>
      </w:r>
      <w:r>
        <w:t xml:space="preserve">operação com múltiplas unidades, diversos canais de atendimento e exigências de</w:t>
      </w:r>
      <w:r>
        <w:t xml:space="preserve"> </w:t>
      </w:r>
      <w:r>
        <w:t xml:space="preserve">padronização, rastreabilidade e conformidade com a LGPD.</w:t>
      </w:r>
    </w:p>
    <w:p>
      <w:pPr>
        <w:pStyle w:val="Heading2"/>
      </w:pPr>
      <w:bookmarkStart w:id="22" w:name="objetivos-do-projeto"/>
      <w:r>
        <w:t xml:space="preserve">Objetivos do projeto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Oferecer uma jornada única de pedido em todos os canais: aplicativo oficial, totens de</w:t>
      </w:r>
      <w:r>
        <w:t xml:space="preserve"> </w:t>
      </w:r>
      <w:r>
        <w:t xml:space="preserve">autoatendimento, balcão e retirada rápida (pick-up);</w:t>
      </w:r>
    </w:p>
    <w:p>
      <w:pPr>
        <w:numPr>
          <w:ilvl w:val="0"/>
          <w:numId w:val="1001"/>
        </w:numPr>
        <w:pStyle w:val="Compact"/>
      </w:pPr>
      <w:r>
        <w:t xml:space="preserve">Controlar cardápio, estoque e regras específicas de cada unidade (incluindo produtos</w:t>
      </w:r>
      <w:r>
        <w:t xml:space="preserve"> </w:t>
      </w:r>
      <w:r>
        <w:t xml:space="preserve">sazonais, como os do período junino, e variações regionais de receitas);</w:t>
      </w:r>
    </w:p>
    <w:p>
      <w:pPr>
        <w:numPr>
          <w:ilvl w:val="0"/>
          <w:numId w:val="1001"/>
        </w:numPr>
        <w:pStyle w:val="Compact"/>
      </w:pPr>
      <w:r>
        <w:t xml:space="preserve">Integrar pagamentos com serviços externos, sem processar dados de cartão;</w:t>
      </w:r>
    </w:p>
    <w:p>
      <w:pPr>
        <w:numPr>
          <w:ilvl w:val="0"/>
          <w:numId w:val="1001"/>
        </w:numPr>
        <w:pStyle w:val="Compact"/>
      </w:pPr>
      <w:r>
        <w:t xml:space="preserve">Implantar programa de fidelidade com pontos e descontos progressivos, respeitando a LGPD;</w:t>
      </w:r>
    </w:p>
    <w:p>
      <w:pPr>
        <w:numPr>
          <w:ilvl w:val="0"/>
          <w:numId w:val="1001"/>
        </w:numPr>
        <w:pStyle w:val="Compact"/>
      </w:pPr>
      <w:r>
        <w:t xml:space="preserve">Fornecer à matriz relatórios de vendas, indicadores e auditoria de operações sensíveis.</w:t>
      </w:r>
    </w:p>
    <w:p>
      <w:pPr>
        <w:pStyle w:val="Heading2"/>
      </w:pPr>
      <w:bookmarkStart w:id="23" w:name="principais-usuários"/>
      <w:r>
        <w:t xml:space="preserve">Principais usuários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Cliente</w:t>
      </w:r>
      <w:r>
        <w:t xml:space="preserve"> </w:t>
      </w:r>
      <w:r>
        <w:t xml:space="preserve">— consulta o cardápio, faz pedidos e acompanha o status;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Atendente</w:t>
      </w:r>
      <w:r>
        <w:t xml:space="preserve"> </w:t>
      </w:r>
      <w:r>
        <w:t xml:space="preserve">— registra pedidos no balcão;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Gerente da unidade</w:t>
      </w:r>
      <w:r>
        <w:t xml:space="preserve"> </w:t>
      </w:r>
      <w:r>
        <w:t xml:space="preserve">— gerencia cardápio, estoque e operações da loja;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Matriz (franqueadora)</w:t>
      </w:r>
      <w:r>
        <w:t xml:space="preserve"> </w:t>
      </w:r>
      <w:r>
        <w:t xml:space="preserve">— acompanha relatórios, indicadores e auditoria;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Serviço externo de pagamento</w:t>
      </w:r>
      <w:r>
        <w:t xml:space="preserve"> </w:t>
      </w:r>
      <w:r>
        <w:t xml:space="preserve">— processa os pagamentos e devolve o resultado.</w:t>
      </w:r>
    </w:p>
    <w:p>
      <w:pPr>
        <w:pStyle w:val="Heading2"/>
      </w:pPr>
      <w:bookmarkStart w:id="24" w:name="relevância-do-sistema"/>
      <w:r>
        <w:t xml:space="preserve">Relevância do sistema</w:t>
      </w:r>
      <w:bookmarkEnd w:id="24"/>
    </w:p>
    <w:p>
      <w:pPr>
        <w:pStyle w:val="FirstParagraph"/>
      </w:pPr>
      <w:r>
        <w:t xml:space="preserve">Nos horários de pico, indisponibilidade impacta diretamente faturamento, operação e imagem</w:t>
      </w:r>
      <w:r>
        <w:t xml:space="preserve"> </w:t>
      </w:r>
      <w:r>
        <w:t xml:space="preserve">da marca. O sistema é, portanto, peça central do negócio: precisa ser robusto, escalável,</w:t>
      </w:r>
      <w:r>
        <w:t xml:space="preserve"> </w:t>
      </w:r>
      <w:r>
        <w:t xml:space="preserve">auditável e tolerante a falhas, além de garantir o uso responsável dos dados dos clientes.</w:t>
      </w:r>
    </w:p>
    <w:p>
      <w:pPr>
        <w:pStyle w:val="Heading1"/>
      </w:pPr>
      <w:bookmarkStart w:id="25" w:name="análise-e-requisitos"/>
      <w:r>
        <w:t xml:space="preserve">2. Análise e Requisitos</w:t>
      </w:r>
      <w:bookmarkEnd w:id="25"/>
    </w:p>
    <w:p>
      <w:pPr>
        <w:pStyle w:val="BlockText"/>
      </w:pPr>
      <w:r>
        <w:t xml:space="preserve">Documento produzido a partir da leitura integral do estudo de caso oficial da disciplina</w:t>
      </w:r>
      <w:r>
        <w:t xml:space="preserve"> </w:t>
      </w:r>
      <w:r>
        <w:t xml:space="preserve">Projeto Multidisciplinar (Trilha Back-end). Todas as afirmações abaixo referenciam a</w:t>
      </w:r>
      <w:r>
        <w:t xml:space="preserve"> </w:t>
      </w:r>
      <w:r>
        <w:t xml:space="preserve">seção do estudo de caso que as fundamenta.</w:t>
      </w:r>
    </w:p>
    <w:p>
      <w:pPr>
        <w:pStyle w:val="Heading2"/>
      </w:pPr>
      <w:bookmarkStart w:id="26" w:name="etapa-1-leitura"/>
      <w:r>
        <w:t xml:space="preserve">Etapa 1 — Leitura</w:t>
      </w:r>
      <w:bookmarkEnd w:id="26"/>
    </w:p>
    <w:p>
      <w:pPr>
        <w:pStyle w:val="FirstParagraph"/>
      </w:pPr>
      <w:r>
        <w:t xml:space="preserve">O estudo de caso foi lido integralmente. Resumo do contexto (seções 1 a 7):</w:t>
      </w:r>
    </w:p>
    <w:p>
      <w:pPr>
        <w:pStyle w:val="BodyText"/>
      </w:pPr>
      <w:r>
        <w:t xml:space="preserve">A Raízes do Nordeste é uma rede de lanchonetes de culinária nordestina, nascida em Recife</w:t>
      </w:r>
      <w:r>
        <w:t xml:space="preserve"> </w:t>
      </w:r>
      <w:r>
        <w:t xml:space="preserve">e em expansão para várias capitais e cidades do interior (seção 1). O cliente interage por</w:t>
      </w:r>
      <w:r>
        <w:t xml:space="preserve"> </w:t>
      </w:r>
      <w:r>
        <w:t xml:space="preserve">múltiplos canais — aplicativo oficial, totens de autoatendimento, balcão e retirada rápida</w:t>
      </w:r>
      <w:r>
        <w:t xml:space="preserve"> </w:t>
      </w:r>
      <w:r>
        <w:t xml:space="preserve">(pick-up) — e espera a mesma jornada em todos eles: ver o cardápio da unidade, selecionar</w:t>
      </w:r>
      <w:r>
        <w:t xml:space="preserve"> </w:t>
      </w:r>
      <w:r>
        <w:t xml:space="preserve">produtos disponíveis naquele local, pedir, acompanhar o status e receber corretamente</w:t>
      </w:r>
      <w:r>
        <w:t xml:space="preserve"> </w:t>
      </w:r>
      <w:r>
        <w:t xml:space="preserve">(seção 2). As unidades diferem entre si (cozinha completa ou reduzida, produtos sazonais</w:t>
      </w:r>
      <w:r>
        <w:t xml:space="preserve"> </w:t>
      </w:r>
      <w:r>
        <w:t xml:space="preserve">— especialmente juninos — e variações regionais de receita), diferenças que devem ser</w:t>
      </w:r>
      <w:r>
        <w:t xml:space="preserve"> </w:t>
      </w:r>
      <w:r>
        <w:t xml:space="preserve">controladas sem quebrar o padrão da franquia (seção 2). Cada unidade tem equipe própria,</w:t>
      </w:r>
      <w:r>
        <w:t xml:space="preserve"> </w:t>
      </w:r>
      <w:r>
        <w:t xml:space="preserve">estoque local, regras de funcionamento e metas (seção 3). A matriz acompanha vendas por</w:t>
      </w:r>
      <w:r>
        <w:t xml:space="preserve"> </w:t>
      </w:r>
      <w:r>
        <w:t xml:space="preserve">unidade/região, produtos mais consumidos, relatórios financeiros, dados consolidados e</w:t>
      </w:r>
      <w:r>
        <w:t xml:space="preserve"> </w:t>
      </w:r>
      <w:r>
        <w:t xml:space="preserve">auditoria de operações sensíveis — cancelamentos, descontos e ajustes (seção 3). Há um</w:t>
      </w:r>
      <w:r>
        <w:t xml:space="preserve"> </w:t>
      </w:r>
      <w:r>
        <w:t xml:space="preserve">programa de fidelização (pontos, descontos progressivos, campanhas segmentadas) com</w:t>
      </w:r>
      <w:r>
        <w:t xml:space="preserve"> </w:t>
      </w:r>
      <w:r>
        <w:t xml:space="preserve">conformidade estrita à LGPD: consentimento explícito, tratamento adequado, anonimização,</w:t>
      </w:r>
      <w:r>
        <w:t xml:space="preserve"> </w:t>
      </w:r>
      <w:r>
        <w:t xml:space="preserve">auditoria de acessos (seção 4). Pagamentos são processados por serviços externos: o</w:t>
      </w:r>
      <w:r>
        <w:t xml:space="preserve"> </w:t>
      </w:r>
      <w:r>
        <w:t xml:space="preserve">sistema apenas solicita, recebe confirmação/negativa, registra e atualiza o pedido</w:t>
      </w:r>
      <w:r>
        <w:t xml:space="preserve"> </w:t>
      </w:r>
      <w:r>
        <w:t xml:space="preserve">(seção 5). O sistema deve ser robusto, escalável, auditável, tolerante a falhas e de alta</w:t>
      </w:r>
      <w:r>
        <w:t xml:space="preserve"> </w:t>
      </w:r>
      <w:r>
        <w:t xml:space="preserve">disponibilidade (seção 6), com arquitetura coerente e sustentável (seção 7).</w:t>
      </w:r>
    </w:p>
    <w:p>
      <w:pPr>
        <w:pStyle w:val="Heading2"/>
      </w:pPr>
      <w:bookmarkStart w:id="27" w:name="etapa-2-requisitos-explícitos"/>
      <w:r>
        <w:t xml:space="preserve">Etapa 2 — Requisitos explícitos</w:t>
      </w:r>
      <w:bookmarkEnd w:id="27"/>
    </w:p>
    <w:p>
      <w:pPr>
        <w:pStyle w:val="Heading3"/>
      </w:pPr>
      <w:bookmarkStart w:id="28" w:name="requisitos-funcionais-rf"/>
      <w:r>
        <w:t xml:space="preserve">Requisitos Funcionais (RF)</w:t>
      </w:r>
      <w:bookmarkEnd w:id="28"/>
    </w:p>
    <w:tbl>
      <w:tblPr>
        <w:tblStyle w:val="Table"/>
        <w:tblW w:type="pct" w:w="5000.0"/>
        <w:tblLook w:firstRow="1"/>
      </w:tblPr>
      <w:tblGrid>
        <w:gridCol w:w="812"/>
        <w:gridCol w:w="2233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Fonte no estudo de caso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p>
            <w:pPr>
              <w:pStyle w:val="Compact"/>
              <w:jc w:val="left"/>
            </w:pPr>
            <w:r>
              <w:t xml:space="preserve">Exibir o cardápio da unidade selecionada, contendo apenas produtos disponíveis naquele local.</w:t>
            </w:r>
          </w:p>
        </w:tc>
        <w:tc>
          <w:p>
            <w:pPr>
              <w:pStyle w:val="Compact"/>
              <w:jc w:val="left"/>
            </w:pPr>
            <w:r>
              <w:t xml:space="preserve">Seção 2 (</w:t>
            </w:r>
            <w:r>
              <w:t xml:space="preserve">“</w:t>
            </w:r>
            <w:r>
              <w:t xml:space="preserve">visualizar o cardápio da unidade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selecionar produtos disponíveis naquele local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p>
            <w:pPr>
              <w:pStyle w:val="Compact"/>
              <w:jc w:val="left"/>
            </w:pPr>
            <w:r>
              <w:t xml:space="preserve">Registrar pedidos originados de qualquer canal: aplicativo, totem, balcão (atendimento humano) e pick-up.</w:t>
            </w:r>
          </w:p>
        </w:tc>
        <w:tc>
          <w:p>
            <w:pPr>
              <w:pStyle w:val="Compact"/>
              <w:jc w:val="left"/>
            </w:pPr>
            <w:r>
              <w:t xml:space="preserve">Seção 2 (lista de canais)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p>
            <w:pPr>
              <w:pStyle w:val="Compact"/>
              <w:jc w:val="left"/>
            </w:pPr>
            <w:r>
              <w:t xml:space="preserve">Permitir pedidos antecipados pelo aplicativo.</w:t>
            </w:r>
          </w:p>
        </w:tc>
        <w:tc>
          <w:p>
            <w:pPr>
              <w:pStyle w:val="Compact"/>
              <w:jc w:val="left"/>
            </w:pPr>
            <w:r>
              <w:t xml:space="preserve">Seção 2 (</w:t>
            </w:r>
            <w:r>
              <w:t xml:space="preserve">“</w:t>
            </w:r>
            <w:r>
              <w:t xml:space="preserve">Aplicativo oficial (pedidos antecipados…)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p>
            <w:pPr>
              <w:pStyle w:val="Compact"/>
              <w:jc w:val="left"/>
            </w:pPr>
            <w:r>
              <w:t xml:space="preserve">Permitir acompanhamento do status do pedido até a entrega/retirada.</w:t>
            </w:r>
          </w:p>
        </w:tc>
        <w:tc>
          <w:p>
            <w:pPr>
              <w:pStyle w:val="Compact"/>
              <w:jc w:val="left"/>
            </w:pPr>
            <w:r>
              <w:t xml:space="preserve">Seção 2 (</w:t>
            </w:r>
            <w:r>
              <w:t xml:space="preserve">“</w:t>
            </w:r>
            <w:r>
              <w:t xml:space="preserve">acompanhar o status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receber o pedido corretamente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p>
            <w:pPr>
              <w:pStyle w:val="Compact"/>
              <w:jc w:val="left"/>
            </w:pPr>
            <w:r>
              <w:t xml:space="preserve">Controlar a disponibilidade de produtos por unidade, incluindo produtos sazonais (ex.: período junino) e variações regionais, sem quebrar o padrão da franquia.</w:t>
            </w:r>
          </w:p>
        </w:tc>
        <w:tc>
          <w:p>
            <w:pPr>
              <w:pStyle w:val="Compact"/>
              <w:jc w:val="left"/>
            </w:pPr>
            <w:r>
              <w:t xml:space="preserve">Seção 2 (parágrafo final)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p>
            <w:pPr>
              <w:pStyle w:val="Compact"/>
              <w:jc w:val="left"/>
            </w:pPr>
            <w:r>
              <w:t xml:space="preserve">Controlar estoque local por unidade.</w:t>
            </w:r>
          </w:p>
        </w:tc>
        <w:tc>
          <w:p>
            <w:pPr>
              <w:pStyle w:val="Compact"/>
              <w:jc w:val="left"/>
            </w:pPr>
            <w:r>
              <w:t xml:space="preserve">Seção 3 (</w:t>
            </w:r>
            <w:r>
              <w:t xml:space="preserve">“</w:t>
            </w:r>
            <w:r>
              <w:t xml:space="preserve">controle de estoque local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p>
            <w:pPr>
              <w:pStyle w:val="Compact"/>
              <w:jc w:val="left"/>
            </w:pPr>
            <w:r>
              <w:t xml:space="preserve">Registrar auditoria de operações sensíveis: cancelamentos, descontos e ajustes.</w:t>
            </w:r>
          </w:p>
        </w:tc>
        <w:tc>
          <w:p>
            <w:pPr>
              <w:pStyle w:val="Compact"/>
              <w:jc w:val="left"/>
            </w:pPr>
            <w:r>
              <w:t xml:space="preserve">Seção 3 (</w:t>
            </w:r>
            <w:r>
              <w:t xml:space="preserve">“</w:t>
            </w:r>
            <w:r>
              <w:t xml:space="preserve">auditoria de operações sensíveis (cancelamentos, descontos, ajustes)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p>
            <w:pPr>
              <w:pStyle w:val="Compact"/>
              <w:jc w:val="left"/>
            </w:pPr>
            <w:r>
              <w:t xml:space="preserve">Disponibilizar à matriz relatórios de vendas por unidade e por região.</w:t>
            </w:r>
          </w:p>
        </w:tc>
        <w:tc>
          <w:p>
            <w:pPr>
              <w:pStyle w:val="Compact"/>
              <w:jc w:val="left"/>
            </w:pPr>
            <w:r>
              <w:t xml:space="preserve">Seção 3 (</w:t>
            </w:r>
            <w:r>
              <w:t xml:space="preserve">“</w:t>
            </w:r>
            <w:r>
              <w:t xml:space="preserve">vendas por unidade e por região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p>
            <w:pPr>
              <w:pStyle w:val="Compact"/>
              <w:jc w:val="left"/>
            </w:pPr>
            <w:r>
              <w:t xml:space="preserve">Disponibilizar relatório de produtos mais consumidos.</w:t>
            </w:r>
          </w:p>
        </w:tc>
        <w:tc>
          <w:p>
            <w:pPr>
              <w:pStyle w:val="Compact"/>
              <w:jc w:val="left"/>
            </w:pPr>
            <w:r>
              <w:t xml:space="preserve">Seção 3 (</w:t>
            </w:r>
            <w:r>
              <w:t xml:space="preserve">“</w:t>
            </w:r>
            <w:r>
              <w:t xml:space="preserve">produtos mais consumidos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p>
            <w:pPr>
              <w:pStyle w:val="Compact"/>
              <w:jc w:val="left"/>
            </w:pPr>
            <w:r>
              <w:t xml:space="preserve">Disponibilizar relatórios financeiros e dados consolidados para decisões estratégicas.</w:t>
            </w:r>
          </w:p>
        </w:tc>
        <w:tc>
          <w:p>
            <w:pPr>
              <w:pStyle w:val="Compact"/>
              <w:jc w:val="left"/>
            </w:pPr>
            <w:r>
              <w:t xml:space="preserve">Seção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p>
            <w:pPr>
              <w:pStyle w:val="Compact"/>
              <w:jc w:val="left"/>
            </w:pPr>
            <w:r>
              <w:t xml:space="preserve">Programa de fidelidade: acumular pontos por consumo.</w:t>
            </w:r>
          </w:p>
        </w:tc>
        <w:tc>
          <w:p>
            <w:pPr>
              <w:pStyle w:val="Compact"/>
              <w:jc w:val="left"/>
            </w:pPr>
            <w:r>
              <w:t xml:space="preserve">Seção 4 (</w:t>
            </w:r>
            <w:r>
              <w:t xml:space="preserve">“</w:t>
            </w:r>
            <w:r>
              <w:t xml:space="preserve">acumular pontos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p>
            <w:pPr>
              <w:pStyle w:val="Compact"/>
              <w:jc w:val="left"/>
            </w:pPr>
            <w:r>
              <w:t xml:space="preserve">Programa de fidelidade: oferecer descontos progressivos.</w:t>
            </w:r>
          </w:p>
        </w:tc>
        <w:tc>
          <w:p>
            <w:pPr>
              <w:pStyle w:val="Compact"/>
              <w:jc w:val="left"/>
            </w:pPr>
            <w:r>
              <w:t xml:space="preserve">Seção 4 (</w:t>
            </w:r>
            <w:r>
              <w:t xml:space="preserve">“</w:t>
            </w:r>
            <w:r>
              <w:t xml:space="preserve">descontos progressivos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p>
            <w:pPr>
              <w:pStyle w:val="Compact"/>
              <w:jc w:val="left"/>
            </w:pPr>
            <w:r>
              <w:t xml:space="preserve">Programa de fidelidade: permitir campanhas segmentadas considerando frequência de consumo, idade e perfil do cliente.</w:t>
            </w:r>
          </w:p>
        </w:tc>
        <w:tc>
          <w:p>
            <w:pPr>
              <w:pStyle w:val="Compact"/>
              <w:jc w:val="left"/>
            </w:pPr>
            <w:r>
              <w:t xml:space="preserve">Seção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p>
            <w:pPr>
              <w:pStyle w:val="Compact"/>
              <w:jc w:val="left"/>
            </w:pPr>
            <w:r>
              <w:t xml:space="preserve">Registrar consentimento explícito do cliente para uso de seus dados (opt-in).</w:t>
            </w:r>
          </w:p>
        </w:tc>
        <w:tc>
          <w:p>
            <w:pPr>
              <w:pStyle w:val="Compact"/>
              <w:jc w:val="left"/>
            </w:pPr>
            <w:r>
              <w:t xml:space="preserve">Seção 4 (</w:t>
            </w:r>
            <w:r>
              <w:t xml:space="preserve">“</w:t>
            </w:r>
            <w:r>
              <w:t xml:space="preserve">consentimento explícito para uso de dados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p>
            <w:pPr>
              <w:pStyle w:val="Compact"/>
              <w:jc w:val="left"/>
            </w:pPr>
            <w:r>
              <w:t xml:space="preserve">Permitir anonimização de dados pessoais quando aplicável.</w:t>
            </w:r>
          </w:p>
        </w:tc>
        <w:tc>
          <w:p>
            <w:pPr>
              <w:pStyle w:val="Compact"/>
              <w:jc w:val="left"/>
            </w:pPr>
            <w:r>
              <w:t xml:space="preserve">Seção 4 (</w:t>
            </w:r>
            <w:r>
              <w:t xml:space="preserve">“</w:t>
            </w:r>
            <w:r>
              <w:t xml:space="preserve">anonimização quando aplicável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RF16</w:t>
            </w:r>
          </w:p>
        </w:tc>
        <w:tc>
          <w:p>
            <w:pPr>
              <w:pStyle w:val="Compact"/>
              <w:jc w:val="left"/>
            </w:pPr>
            <w:r>
              <w:t xml:space="preserve">Registrar auditoria de acessos a dados pessoais.</w:t>
            </w:r>
          </w:p>
        </w:tc>
        <w:tc>
          <w:p>
            <w:pPr>
              <w:pStyle w:val="Compact"/>
              <w:jc w:val="left"/>
            </w:pPr>
            <w:r>
              <w:t xml:space="preserve">Seção 4 (</w:t>
            </w:r>
            <w:r>
              <w:t xml:space="preserve">“</w:t>
            </w:r>
            <w:r>
              <w:t xml:space="preserve">auditoria de acessos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RF17</w:t>
            </w:r>
          </w:p>
        </w:tc>
        <w:tc>
          <w:p>
            <w:pPr>
              <w:pStyle w:val="Compact"/>
              <w:jc w:val="left"/>
            </w:pPr>
            <w:r>
              <w:t xml:space="preserve">Solicitar pagamento a serviço externo, receber confirmação ou negativa, registrar o resultado e atualizar o status do pedido.</w:t>
            </w:r>
          </w:p>
        </w:tc>
        <w:tc>
          <w:p>
            <w:pPr>
              <w:pStyle w:val="Compact"/>
              <w:jc w:val="left"/>
            </w:pPr>
            <w:r>
              <w:t xml:space="preserve">Seção 5 (lista completa)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p>
            <w:pPr>
              <w:pStyle w:val="Compact"/>
              <w:jc w:val="left"/>
            </w:pPr>
            <w:r>
              <w:t xml:space="preserve">Tratar falhas na integração de pagamento sem corromper o estado do pedido.</w:t>
            </w:r>
          </w:p>
        </w:tc>
        <w:tc>
          <w:p>
            <w:pPr>
              <w:pStyle w:val="Compact"/>
              <w:jc w:val="left"/>
            </w:pPr>
            <w:r>
              <w:t xml:space="preserve">Seção 5 (</w:t>
            </w:r>
            <w:r>
              <w:t xml:space="preserve">“</w:t>
            </w:r>
            <w:r>
              <w:t xml:space="preserve">exige cuidado na modelagem e no tratamento de falhas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p>
            <w:pPr>
              <w:pStyle w:val="Compact"/>
              <w:jc w:val="left"/>
            </w:pPr>
            <w:r>
              <w:t xml:space="preserve">Cadastrar e gerenciar unidades da franquia com suas características (formato de cozinha, regras de funcionamento).</w:t>
            </w:r>
          </w:p>
        </w:tc>
        <w:tc>
          <w:p>
            <w:pPr>
              <w:pStyle w:val="Compact"/>
              <w:jc w:val="left"/>
            </w:pPr>
            <w:r>
              <w:t xml:space="preserve">Seção 2/3 (</w:t>
            </w:r>
            <w:r>
              <w:t xml:space="preserve">“</w:t>
            </w:r>
            <w:r>
              <w:t xml:space="preserve">Nem todas as unidades são idênticas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regras de funcionamento específicas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p>
            <w:pPr>
              <w:pStyle w:val="Compact"/>
              <w:jc w:val="left"/>
            </w:pPr>
            <w:r>
              <w:t xml:space="preserve">Acompanhar metas e indicadores de desempenho por unidade.</w:t>
            </w:r>
          </w:p>
        </w:tc>
        <w:tc>
          <w:p>
            <w:pPr>
              <w:pStyle w:val="Compact"/>
              <w:jc w:val="left"/>
            </w:pPr>
            <w:r>
              <w:t xml:space="preserve">Seção 3 (</w:t>
            </w:r>
            <w:r>
              <w:t xml:space="preserve">“</w:t>
            </w:r>
            <w:r>
              <w:t xml:space="preserve">metas e indicadores de desempenho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Heading3"/>
      </w:pPr>
      <w:bookmarkStart w:id="29" w:name="requisitos-não-funcionais-rnf"/>
      <w:r>
        <w:t xml:space="preserve">Requisitos Não Funcionais (RNF)</w:t>
      </w:r>
      <w:bookmarkEnd w:id="29"/>
    </w:p>
    <w:tbl>
      <w:tblPr>
        <w:tblStyle w:val="Table"/>
        <w:tblW w:type="pct" w:w="5000.0"/>
        <w:tblLook w:firstRow="1"/>
      </w:tblPr>
      <w:tblGrid>
        <w:gridCol w:w="1440"/>
        <w:gridCol w:w="3960"/>
        <w:gridCol w:w="2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p>
            <w:pPr>
              <w:pStyle w:val="Compact"/>
              <w:jc w:val="left"/>
            </w:pPr>
            <w:r>
              <w:t xml:space="preserve">Alta disponibilidade, principalmente em horários de pico.</w:t>
            </w:r>
          </w:p>
        </w:tc>
        <w:tc>
          <w:p>
            <w:pPr>
              <w:pStyle w:val="Compact"/>
              <w:jc w:val="left"/>
            </w:pPr>
            <w:r>
              <w:t xml:space="preserve">Seção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p>
            <w:pPr>
              <w:pStyle w:val="Compact"/>
              <w:jc w:val="left"/>
            </w:pPr>
            <w:r>
              <w:t xml:space="preserve">Escalabilidade para suportar o crescimento contínuo da rede.</w:t>
            </w:r>
          </w:p>
        </w:tc>
        <w:tc>
          <w:p>
            <w:pPr>
              <w:pStyle w:val="Compact"/>
              <w:jc w:val="left"/>
            </w:pPr>
            <w:r>
              <w:t xml:space="preserve">Seções 1, 3,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p>
            <w:pPr>
              <w:pStyle w:val="Compact"/>
              <w:jc w:val="left"/>
            </w:pPr>
            <w:r>
              <w:t xml:space="preserve">Tolerância a falhas (inclusive falhas do serviço externo de pagamento).</w:t>
            </w:r>
          </w:p>
        </w:tc>
        <w:tc>
          <w:p>
            <w:pPr>
              <w:pStyle w:val="Compact"/>
              <w:jc w:val="left"/>
            </w:pPr>
            <w:r>
              <w:t xml:space="preserve">Seções 5,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p>
            <w:pPr>
              <w:pStyle w:val="Compact"/>
              <w:jc w:val="left"/>
            </w:pPr>
            <w:r>
              <w:t xml:space="preserve">Auditabilidade: rastreabilidade e transparência das operações.</w:t>
            </w:r>
          </w:p>
        </w:tc>
        <w:tc>
          <w:p>
            <w:pPr>
              <w:pStyle w:val="Compact"/>
              <w:jc w:val="left"/>
            </w:pPr>
            <w:r>
              <w:t xml:space="preserve">Seções 3,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p>
            <w:pPr>
              <w:pStyle w:val="Compact"/>
              <w:jc w:val="left"/>
            </w:pPr>
            <w:r>
              <w:t xml:space="preserve">Conformidade com a LGPD (consentimento, minimização, anonimização, auditoria de acesso).</w:t>
            </w:r>
          </w:p>
        </w:tc>
        <w:tc>
          <w:p>
            <w:pPr>
              <w:pStyle w:val="Compact"/>
              <w:jc w:val="left"/>
            </w:pPr>
            <w:r>
              <w:t xml:space="preserve">Seção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p>
            <w:pPr>
              <w:pStyle w:val="Compact"/>
              <w:jc w:val="left"/>
            </w:pPr>
            <w:r>
              <w:t xml:space="preserve">Segurança: pagamentos desacoplados; o sistema não processa nem armazena dados de cartão.</w:t>
            </w:r>
          </w:p>
        </w:tc>
        <w:tc>
          <w:p>
            <w:pPr>
              <w:pStyle w:val="Compact"/>
              <w:jc w:val="left"/>
            </w:pPr>
            <w:r>
              <w:t xml:space="preserve">Seção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p>
            <w:pPr>
              <w:pStyle w:val="Compact"/>
              <w:jc w:val="left"/>
            </w:pPr>
            <w:r>
              <w:t xml:space="preserve">Padronização entre unidades preservando variações controladas (sazonais/regionais).</w:t>
            </w:r>
          </w:p>
        </w:tc>
        <w:tc>
          <w:p>
            <w:pPr>
              <w:pStyle w:val="Compact"/>
              <w:jc w:val="left"/>
            </w:pPr>
            <w:r>
              <w:t xml:space="preserve">Seção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p>
            <w:pPr>
              <w:pStyle w:val="Compact"/>
              <w:jc w:val="left"/>
            </w:pPr>
            <w:r>
              <w:t xml:space="preserve">Arquitetura coerente, sustentável no longo prazo e baseada em integração de sistemas.</w:t>
            </w:r>
          </w:p>
        </w:tc>
        <w:tc>
          <w:p>
            <w:pPr>
              <w:pStyle w:val="Compact"/>
              <w:jc w:val="left"/>
            </w:pPr>
            <w:r>
              <w:t xml:space="preserve">Seções 5,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RNF09</w:t>
            </w:r>
          </w:p>
        </w:tc>
        <w:tc>
          <w:p>
            <w:pPr>
              <w:pStyle w:val="Compact"/>
              <w:jc w:val="left"/>
            </w:pPr>
            <w:r>
              <w:t xml:space="preserve">Consistência multicanal: a mesma jornada em app, totem, balcão e pick-up.</w:t>
            </w:r>
          </w:p>
        </w:tc>
        <w:tc>
          <w:p>
            <w:pPr>
              <w:pStyle w:val="Compact"/>
              <w:jc w:val="left"/>
            </w:pPr>
            <w:r>
              <w:t xml:space="preserve">Seção 2</w:t>
            </w:r>
          </w:p>
        </w:tc>
      </w:tr>
    </w:tbl>
    <w:p>
      <w:pPr>
        <w:pStyle w:val="Heading2"/>
      </w:pPr>
      <w:bookmarkStart w:id="30" w:name="etapa-3-inferências-mínimas-justificadas"/>
      <w:r>
        <w:t xml:space="preserve">Etapa 3 — Inferências mínimas (justificadas)</w:t>
      </w:r>
      <w:bookmarkEnd w:id="30"/>
    </w:p>
    <w:p>
      <w:pPr>
        <w:pStyle w:val="FirstParagraph"/>
      </w:pPr>
      <w:r>
        <w:t xml:space="preserve">Somente inferências indispensáveis para o sistema funcionar, cada uma ancorada no texto:</w:t>
      </w:r>
    </w:p>
    <w:tbl>
      <w:tblPr>
        <w:tblStyle w:val="Table"/>
        <w:tblW w:type="pct" w:w="5000.0"/>
        <w:tblLook w:firstRow="1"/>
      </w:tblPr>
      <w:tblGrid>
        <w:gridCol w:w="1056"/>
        <w:gridCol w:w="2904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Inferência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INF01</w:t>
            </w:r>
          </w:p>
        </w:tc>
        <w:tc>
          <w:p>
            <w:pPr>
              <w:pStyle w:val="Compact"/>
              <w:jc w:val="left"/>
            </w:pPr>
            <w:r>
              <w:t xml:space="preserve">O ciclo de vida do pedido possui estados:</w:t>
            </w:r>
            <w:r>
              <w:t xml:space="preserve"> </w:t>
            </w:r>
            <w:r>
              <w:rPr>
                <w:rStyle w:val="VerbatimChar"/>
              </w:rPr>
              <w:t xml:space="preserve">CRIADO → AGUARDANDO_PAGAMENTO → PAGO → EM_PREPARO → PRONTO → ENTREGUE</w:t>
            </w:r>
            <w:r>
              <w:t xml:space="preserve">, com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PAGAMENTO_RECUSADO</w:t>
            </w:r>
            <w:r>
              <w:t xml:space="preserve"> </w:t>
            </w:r>
            <w:r>
              <w:t xml:space="preserve">como desvios.</w:t>
            </w:r>
          </w:p>
        </w:tc>
        <w:tc>
          <w:p>
            <w:pPr>
              <w:pStyle w:val="Compact"/>
              <w:jc w:val="left"/>
            </w:pPr>
            <w:r>
              <w:t xml:space="preserve">O estudo exige</w:t>
            </w:r>
            <w:r>
              <w:t xml:space="preserve"> </w:t>
            </w:r>
            <w:r>
              <w:t xml:space="preserve">“</w:t>
            </w:r>
            <w:r>
              <w:t xml:space="preserve">acompanhar o status</w:t>
            </w:r>
            <w:r>
              <w:t xml:space="preserve">”</w:t>
            </w:r>
            <w:r>
              <w:t xml:space="preserve"> </w:t>
            </w:r>
            <w:r>
              <w:t xml:space="preserve">(seção 2) e atualização de status conforme resultado do pagamento (seção 5); cancelamento é citado como operação sensível auditável (seção 3). Estados mínimos para cobrir essas exigências.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INF02</w:t>
            </w:r>
          </w:p>
        </w:tc>
        <w:tc>
          <w:p>
            <w:pPr>
              <w:pStyle w:val="Compact"/>
              <w:jc w:val="left"/>
            </w:pPr>
            <w:r>
              <w:t xml:space="preserve">Existe cadastro de cliente vinculado ao programa de fidelidade, com dados mínimos (nome, e-mail, data de nascimento) e flag de consentimento.</w:t>
            </w:r>
          </w:p>
        </w:tc>
        <w:tc>
          <w:p>
            <w:pPr>
              <w:pStyle w:val="Compact"/>
              <w:jc w:val="left"/>
            </w:pPr>
            <w:r>
              <w:t xml:space="preserve">A fidelização considera</w:t>
            </w:r>
            <w:r>
              <w:t xml:space="preserve"> </w:t>
            </w:r>
            <w:r>
              <w:t xml:space="preserve">“</w:t>
            </w:r>
            <w:r>
              <w:t xml:space="preserve">frequência de consumo, idade e perfil</w:t>
            </w:r>
            <w:r>
              <w:t xml:space="preserve">”</w:t>
            </w:r>
            <w:r>
              <w:t xml:space="preserve"> </w:t>
            </w:r>
            <w:r>
              <w:t xml:space="preserve">(seção 4) — exige identificar o cliente e sua data de nascimento; a LGPD exige consentimento registrado. Pedidos de balcão/totem podem ser anônimos (nada no estudo obriga identificação).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INF03</w:t>
            </w:r>
          </w:p>
        </w:tc>
        <w:tc>
          <w:p>
            <w:pPr>
              <w:pStyle w:val="Compact"/>
              <w:jc w:val="left"/>
            </w:pPr>
            <w:r>
              <w:t xml:space="preserve">A regra de desconto progressivo é parametrizada por faixas de pontos acumulados.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Descontos progressivos</w:t>
            </w:r>
            <w:r>
              <w:t xml:space="preserve">”</w:t>
            </w:r>
            <w:r>
              <w:t xml:space="preserve"> </w:t>
            </w:r>
            <w:r>
              <w:t xml:space="preserve">(seção 4) exige alguma progressão; faixas de pontos é a materialização mínima, sem inventar regras adicionais. Valores das faixas são configuráveis.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INF04</w:t>
            </w:r>
          </w:p>
        </w:tc>
        <w:tc>
          <w:p>
            <w:pPr>
              <w:pStyle w:val="Compact"/>
              <w:jc w:val="left"/>
            </w:pPr>
            <w:r>
              <w:t xml:space="preserve">A baixa de estoque ocorre quando o pedido é confirmado (pago), por unidade.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Controle de estoque local</w:t>
            </w:r>
            <w:r>
              <w:t xml:space="preserve">”</w:t>
            </w:r>
            <w:r>
              <w:t xml:space="preserve"> </w:t>
            </w:r>
            <w:r>
              <w:t xml:space="preserve">(seção 3) só faz sentido se o consumo dos pedidos abater o estoque da unidade.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INF05</w:t>
            </w:r>
          </w:p>
        </w:tc>
        <w:tc>
          <w:p>
            <w:pPr>
              <w:pStyle w:val="Compact"/>
              <w:jc w:val="left"/>
            </w:pPr>
            <w:r>
              <w:t xml:space="preserve">O sistema solicita o pagamento ao serviço externo e recebe o resultado depois, por um endpoint de retorno (na implementação, o serviço externo é simulado).</w:t>
            </w:r>
          </w:p>
        </w:tc>
        <w:tc>
          <w:p>
            <w:pPr>
              <w:pStyle w:val="Compact"/>
              <w:jc w:val="left"/>
            </w:pPr>
            <w:r>
              <w:t xml:space="preserve">Seção 5 descreve exatamente esse fluxo (solicita → recebe confirmação/negativa → registra → atualiza), e afirma que o processamento é externo. O serviço real não faz parte do escopo.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INF06</w:t>
            </w:r>
          </w:p>
        </w:tc>
        <w:tc>
          <w:p>
            <w:pPr>
              <w:pStyle w:val="Compact"/>
              <w:jc w:val="left"/>
            </w:pPr>
            <w:r>
              <w:t xml:space="preserve">Perfis de acesso mínimos: CLIENTE, ATENDENTE, GERENTE (unidade) e MATRIZ.</w:t>
            </w:r>
          </w:p>
        </w:tc>
        <w:tc>
          <w:p>
            <w:pPr>
              <w:pStyle w:val="Compact"/>
              <w:jc w:val="left"/>
            </w:pPr>
            <w:r>
              <w:t xml:space="preserve">Seção 3 cita equipes (atendentes, cozinheiros, gerentes) e necessidades exclusivas da matriz (relatórios consolidados, auditoria); relatórios e auditoria não podem ser públicos (rastreabilidade/transparência, LGPD).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INF07</w:t>
            </w:r>
          </w:p>
        </w:tc>
        <w:tc>
          <w:p>
            <w:pPr>
              <w:pStyle w:val="Compact"/>
              <w:jc w:val="left"/>
            </w:pPr>
            <w:r>
              <w:t xml:space="preserve">A anonimização apaga os dados pessoais do cliente de forma definitiva, mas mantém os registros de pedidos para os relatórios.</w:t>
            </w:r>
          </w:p>
        </w:tc>
        <w:tc>
          <w:p>
            <w:pPr>
              <w:pStyle w:val="Compact"/>
              <w:jc w:val="left"/>
            </w:pPr>
            <w:r>
              <w:t xml:space="preserve">Seção 4 pede anonimização</w:t>
            </w:r>
            <w:r>
              <w:t xml:space="preserve"> </w:t>
            </w:r>
            <w:r>
              <w:t xml:space="preserve">“</w:t>
            </w:r>
            <w:r>
              <w:t xml:space="preserve">quando aplicável</w:t>
            </w:r>
            <w:r>
              <w:t xml:space="preserve">”</w:t>
            </w:r>
            <w:r>
              <w:t xml:space="preserve"> </w:t>
            </w:r>
            <w:r>
              <w:t xml:space="preserve">e a matriz continua precisando de dados consolidados (seção 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INF08</w:t>
            </w:r>
          </w:p>
        </w:tc>
        <w:tc>
          <w:p>
            <w:pPr>
              <w:pStyle w:val="Compact"/>
              <w:jc w:val="left"/>
            </w:pPr>
            <w:r>
              <w:t xml:space="preserve">Os registros de auditoria guardam autor, operação, data e justificativa, e não podem ser alterados nem apagados.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Rastreabilidade e transparência</w:t>
            </w:r>
            <w:r>
              <w:t xml:space="preserve">”</w:t>
            </w:r>
            <w:r>
              <w:t xml:space="preserve"> </w:t>
            </w:r>
            <w:r>
              <w:t xml:space="preserve">(seção 3) e</w:t>
            </w:r>
            <w:r>
              <w:t xml:space="preserve"> </w:t>
            </w:r>
            <w:r>
              <w:t xml:space="preserve">“</w:t>
            </w:r>
            <w:r>
              <w:t xml:space="preserve">auditoria de acessos</w:t>
            </w:r>
            <w:r>
              <w:t xml:space="preserve">”</w:t>
            </w:r>
            <w:r>
              <w:t xml:space="preserve"> </w:t>
            </w:r>
            <w:r>
              <w:t xml:space="preserve">(seção 4) exigem esses atributos mínimos.</w:t>
            </w:r>
          </w:p>
        </w:tc>
      </w:tr>
    </w:tbl>
    <w:p>
      <w:pPr>
        <w:pStyle w:val="Heading2"/>
      </w:pPr>
      <w:bookmarkStart w:id="31" w:name="etapa-4-validação"/>
      <w:r>
        <w:t xml:space="preserve">Etapa 4 — Validação</w:t>
      </w:r>
      <w:bookmarkEnd w:id="31"/>
    </w:p>
    <w:p>
      <w:pPr>
        <w:pStyle w:val="FirstParagraph"/>
      </w:pPr>
      <w:r>
        <w:t xml:space="preserve">Checklist de aderência: cada funcionalidade implementada rastreia para um RF/RNF acima, e</w:t>
      </w:r>
      <w:r>
        <w:t xml:space="preserve"> </w:t>
      </w:r>
      <w:r>
        <w:t xml:space="preserve">cada RF/RNF rastreia para uma seção do estudo de caso. Funcionalidades deliberadamente</w:t>
      </w:r>
      <w:r>
        <w:t xml:space="preserve"> </w:t>
      </w:r>
      <w:r>
        <w:rPr>
          <w:b/>
        </w:rPr>
        <w:t xml:space="preserve">fora do escopo</w:t>
      </w:r>
      <w:r>
        <w:t xml:space="preserve"> </w:t>
      </w:r>
      <w:r>
        <w:t xml:space="preserve">por não terem respaldo no estudo de caso:</w:t>
      </w:r>
    </w:p>
    <w:p>
      <w:pPr>
        <w:numPr>
          <w:ilvl w:val="0"/>
          <w:numId w:val="1003"/>
        </w:numPr>
        <w:pStyle w:val="Compact"/>
      </w:pPr>
      <w:r>
        <w:t xml:space="preserve">Delivery/entrega em domicílio (o estudo cita apenas pick-up e consumo em loja);</w:t>
      </w:r>
    </w:p>
    <w:p>
      <w:pPr>
        <w:numPr>
          <w:ilvl w:val="0"/>
          <w:numId w:val="1003"/>
        </w:numPr>
        <w:pStyle w:val="Compact"/>
      </w:pPr>
      <w:r>
        <w:t xml:space="preserve">Processamento/armazenamento de dados de cartão (explicitamente delegado a terceiros);</w:t>
      </w:r>
    </w:p>
    <w:p>
      <w:pPr>
        <w:numPr>
          <w:ilvl w:val="0"/>
          <w:numId w:val="1003"/>
        </w:numPr>
        <w:pStyle w:val="Compact"/>
      </w:pPr>
      <w:r>
        <w:t xml:space="preserve">Gestão de folha de pagamento/RH das equipes;</w:t>
      </w:r>
    </w:p>
    <w:p>
      <w:pPr>
        <w:numPr>
          <w:ilvl w:val="0"/>
          <w:numId w:val="1003"/>
        </w:numPr>
        <w:pStyle w:val="Compact"/>
      </w:pPr>
      <w:r>
        <w:t xml:space="preserve">Cadastro de fornecedores e compras (o estudo cita apenas o controle do estoque local);</w:t>
      </w:r>
    </w:p>
    <w:p>
      <w:pPr>
        <w:numPr>
          <w:ilvl w:val="0"/>
          <w:numId w:val="1003"/>
        </w:numPr>
        <w:pStyle w:val="Compact"/>
      </w:pPr>
      <w:r>
        <w:t xml:space="preserve">App mobile e interface de totem em si (trilha Back-end: o sistema expõe a API que</w:t>
      </w:r>
      <w:r>
        <w:t xml:space="preserve"> </w:t>
      </w:r>
      <w:r>
        <w:t xml:space="preserve">atende todos os canais).</w:t>
      </w:r>
    </w:p>
    <w:p>
      <w:pPr>
        <w:pStyle w:val="FirstParagraph"/>
      </w:pPr>
      <w:r>
        <w:t xml:space="preserve">Nenhuma funcionalidade além das listadas em RF/RNF/INF foi incluída na modelagem ou na</w:t>
      </w:r>
      <w:r>
        <w:t xml:space="preserve"> </w:t>
      </w:r>
      <w:r>
        <w:t xml:space="preserve">implementação.</w:t>
      </w:r>
    </w:p>
    <w:p>
      <w:pPr>
        <w:pStyle w:val="Heading1"/>
      </w:pPr>
      <w:bookmarkStart w:id="32" w:name="modelagem-e-arquitetura"/>
      <w:r>
        <w:t xml:space="preserve">3. Modelagem e Arquitetura</w:t>
      </w:r>
      <w:bookmarkEnd w:id="32"/>
    </w:p>
    <w:p>
      <w:pPr>
        <w:pStyle w:val="Heading2"/>
      </w:pPr>
      <w:bookmarkStart w:id="33" w:name="diagrama-de-casos-de-uso"/>
      <w:r>
        <w:t xml:space="preserve">Diagrama de Casos de Uso</w:t>
      </w:r>
      <w:bookmarkEnd w:id="33"/>
    </w:p>
    <w:p>
      <w:pPr>
        <w:pStyle w:val="CaptionedFigure"/>
      </w:pPr>
      <w:r>
        <w:drawing>
          <wp:inline>
            <wp:extent cx="5334000" cy="7701337"/>
            <wp:effectExtent b="0" l="0" r="0" t="0"/>
            <wp:docPr descr="Diagrama de Casos de Uso" title="" id="1" name="Picture"/>
            <a:graphic>
              <a:graphicData uri="http://schemas.openxmlformats.org/drawingml/2006/picture">
                <pic:pic>
                  <pic:nvPicPr>
                    <pic:cNvPr descr="diagramas/casos-de-us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</w:t>
      </w:r>
    </w:p>
    <w:p>
      <w:pPr>
        <w:pStyle w:val="Heading2"/>
      </w:pPr>
      <w:bookmarkStart w:id="35" w:name="diagrama-de-classes"/>
      <w:r>
        <w:t xml:space="preserve">Diagrama de Classes</w:t>
      </w:r>
      <w:bookmarkEnd w:id="35"/>
    </w:p>
    <w:p>
      <w:pPr>
        <w:pStyle w:val="CaptionedFigure"/>
      </w:pPr>
      <w:r>
        <w:drawing>
          <wp:inline>
            <wp:extent cx="5334000" cy="6129233"/>
            <wp:effectExtent b="0" l="0" r="0" t="0"/>
            <wp:docPr descr="Diagrama de Classes" title="" id="1" name="Picture"/>
            <a:graphic>
              <a:graphicData uri="http://schemas.openxmlformats.org/drawingml/2006/picture">
                <pic:pic>
                  <pic:nvPicPr>
                    <pic:cNvPr descr="diagramas/diagrama-clas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</w:t>
      </w:r>
    </w:p>
    <w:p>
      <w:pPr>
        <w:pStyle w:val="Heading2"/>
      </w:pPr>
      <w:bookmarkStart w:id="37" w:name="der"/>
      <w:r>
        <w:t xml:space="preserve">DER</w:t>
      </w:r>
      <w:bookmarkEnd w:id="37"/>
    </w:p>
    <w:p>
      <w:pPr>
        <w:pStyle w:val="CaptionedFigure"/>
      </w:pPr>
      <w:r>
        <w:drawing>
          <wp:inline>
            <wp:extent cx="5334000" cy="2604083"/>
            <wp:effectExtent b="0" l="0" r="0" t="0"/>
            <wp:docPr descr="DER" title="" id="1" name="Picture"/>
            <a:graphic>
              <a:graphicData uri="http://schemas.openxmlformats.org/drawingml/2006/picture">
                <pic:pic>
                  <pic:nvPicPr>
                    <pic:cNvPr descr="diagramas/d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</w:t>
      </w:r>
    </w:p>
    <w:p>
      <w:pPr>
        <w:pStyle w:val="Heading2"/>
      </w:pPr>
      <w:bookmarkStart w:id="39" w:name="arquitetura-proposta"/>
      <w:r>
        <w:t xml:space="preserve">Arquitetura Proposta</w:t>
      </w:r>
      <w:bookmarkEnd w:id="39"/>
    </w:p>
    <w:p>
      <w:pPr>
        <w:pStyle w:val="Heading3"/>
      </w:pPr>
      <w:bookmarkStart w:id="40" w:name="visão-geral"/>
      <w:r>
        <w:t xml:space="preserve">Visão geral</w:t>
      </w:r>
      <w:bookmarkEnd w:id="40"/>
    </w:p>
    <w:p>
      <w:pPr>
        <w:pStyle w:val="FirstParagraph"/>
      </w:pPr>
      <w:r>
        <w:t xml:space="preserve">A solução é um</w:t>
      </w:r>
      <w:r>
        <w:t xml:space="preserve"> </w:t>
      </w:r>
      <w:r>
        <w:rPr>
          <w:b/>
        </w:rPr>
        <w:t xml:space="preserve">back-end único (API REST)</w:t>
      </w:r>
      <w:r>
        <w:t xml:space="preserve"> </w:t>
      </w:r>
      <w:r>
        <w:t xml:space="preserve">que atende todos os canais descritos no</w:t>
      </w:r>
      <w:r>
        <w:t xml:space="preserve"> </w:t>
      </w:r>
      <w:r>
        <w:t xml:space="preserve">estudo de caso — aplicativo oficial, totens de autoatendimento, atendimento de balcão e</w:t>
      </w:r>
      <w:r>
        <w:t xml:space="preserve"> </w:t>
      </w:r>
      <w:r>
        <w:t xml:space="preserve">pick-up (seção 2). Assim, todos os canais usam as mesmas regras de negócio e os mesmos</w:t>
      </w:r>
      <w:r>
        <w:t xml:space="preserve"> </w:t>
      </w:r>
      <w:r>
        <w:t xml:space="preserve">dados, e o cliente tem a mesma experiência em qualquer um deles.</w:t>
      </w:r>
    </w:p>
    <w:p>
      <w:pPr>
        <w:pStyle w:val="BodyText"/>
      </w:pPr>
      <w:r>
        <w:t xml:space="preserve">Os quatro canais (aplicativo, totem, balcão e pick-up) fazem requisições à mesma API,</w:t>
      </w:r>
      <w:r>
        <w:t xml:space="preserve"> </w:t>
      </w:r>
      <w:r>
        <w:t xml:space="preserve">que é organizada em três camadas (Controller, Service e Repository) e usa um banco de</w:t>
      </w:r>
      <w:r>
        <w:t xml:space="preserve"> </w:t>
      </w:r>
      <w:r>
        <w:t xml:space="preserve">dados relacional. A API também se comunica com o serviço externo de pagamento (seção 5)</w:t>
      </w:r>
      <w:r>
        <w:t xml:space="preserve"> </w:t>
      </w:r>
      <w:r>
        <w:t xml:space="preserve">e grava os registros de auditoria no banco.</w:t>
      </w:r>
    </w:p>
    <w:p>
      <w:pPr>
        <w:pStyle w:val="Heading3"/>
      </w:pPr>
      <w:bookmarkStart w:id="41" w:name="decisões-e-justificativas"/>
      <w:r>
        <w:t xml:space="preserve">Decisões e justificativas</w:t>
      </w:r>
      <w:bookmarkEnd w:id="41"/>
    </w:p>
    <w:tbl>
      <w:tblPr>
        <w:tblStyle w:val="Table"/>
        <w:tblW w:type="pct" w:w="5000.0"/>
        <w:tblLook w:firstRow="1"/>
      </w:tblPr>
      <w:tblGrid>
        <w:gridCol w:w="1782"/>
        <w:gridCol w:w="61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 (estudo de caso)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REST organizada em camadas (Controller, Service, Repository)</w:t>
            </w:r>
          </w:p>
        </w:tc>
        <w:tc>
          <w:p>
            <w:pPr>
              <w:pStyle w:val="Compact"/>
              <w:jc w:val="left"/>
            </w:pPr>
            <w:r>
              <w:t xml:space="preserve">Separa as regras de negócio do restante do código, deixando o sistema mais organizado e fácil de manter (seção 7).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Uma única aplicação, dividida em módulos (cardápio, pedidos, estoque, fidelidade, pagamentos, auditoria, relatórios)</w:t>
            </w:r>
          </w:p>
        </w:tc>
        <w:tc>
          <w:p>
            <w:pPr>
              <w:pStyle w:val="Compact"/>
              <w:jc w:val="left"/>
            </w:pPr>
            <w:r>
              <w:t xml:space="preserve">É a opção mais simples de desenvolver e manter para o porte atual da rede; no futuro, com o crescimento, os módulos podem virar serviços separados (seções 1 e 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Pagamento feito por serviço externo, através de uma interface (</w:t>
            </w:r>
            <w:r>
              <w:rPr>
                <w:rStyle w:val="VerbatimChar"/>
              </w:rPr>
              <w:t xml:space="preserve">PagamentoGateway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Seção 5: o sistema apenas solicita o pagamento e recebe o resultado. Usando uma interface, é possível trocar o provedor sem mexer no resto do código; na entrega acadêmica o provedor é simulado.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 resultado do pagamento chega por um endpoint de retorno (callback) protegido contra duplicação</w:t>
            </w:r>
          </w:p>
        </w:tc>
        <w:tc>
          <w:p>
            <w:pPr>
              <w:pStyle w:val="Compact"/>
              <w:jc w:val="left"/>
            </w:pPr>
            <w:r>
              <w:t xml:space="preserve">Seção 5 pede cuidado no tratamento de falhas: se o serviço externo enviar o mesmo resultado duas vezes, o sistema percebe e não baixa o estoque nem soma pontos em dobro.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Registros de auditoria que só podem ser adicionados (nunca alterados ou apagados)</w:t>
            </w:r>
          </w:p>
        </w:tc>
        <w:tc>
          <w:p>
            <w:pPr>
              <w:pStyle w:val="Compact"/>
              <w:jc w:val="left"/>
            </w:pPr>
            <w:r>
              <w:t xml:space="preserve">Seções 3 e 4: cancelamentos, descontos, ajustes e acessos a dados pessoais precisam ficar registrados com autor, data e justificativa.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 de dados relacional (H2 na entrega; PostgreSQL sugerido para produção)</w:t>
            </w:r>
          </w:p>
        </w:tc>
        <w:tc>
          <w:p>
            <w:pPr>
              <w:pStyle w:val="Compact"/>
              <w:jc w:val="left"/>
            </w:pPr>
            <w:r>
              <w:t xml:space="preserve">Os dados são bem relacionados entre si (pedidos, itens, estoque por unidade) e operações como baixa de estoque precisam de transações (seções 3 e 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Dados de cartão nunca passam pelo sistema</w:t>
            </w:r>
          </w:p>
        </w:tc>
        <w:tc>
          <w:p>
            <w:pPr>
              <w:pStyle w:val="Compact"/>
              <w:jc w:val="left"/>
            </w:pPr>
            <w:r>
              <w:t xml:space="preserve">Seção 5: o processamento é 100% externo — menos risco de segurança.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Perfis de acesso (cliente, atendente, gerente, matriz)</w:t>
            </w:r>
          </w:p>
        </w:tc>
        <w:tc>
          <w:p>
            <w:pPr>
              <w:pStyle w:val="Compact"/>
              <w:jc w:val="left"/>
            </w:pPr>
            <w:r>
              <w:t xml:space="preserve">Seção 3 (equipes e matriz) + LGPD (seção 4): relatórios e auditoria não podem ser públicos.</w:t>
            </w:r>
          </w:p>
        </w:tc>
      </w:tr>
    </w:tbl>
    <w:p>
      <w:pPr>
        <w:pStyle w:val="Heading3"/>
      </w:pPr>
      <w:bookmarkStart w:id="42" w:name="X2ea6265ec29c8ded823149f01565da6648a991d"/>
      <w:r>
        <w:t xml:space="preserve">Alta disponibilidade, escalabilidade e tolerância a falhas (seção 6)</w:t>
      </w:r>
      <w:bookmarkEnd w:id="42"/>
    </w:p>
    <w:p>
      <w:pPr>
        <w:numPr>
          <w:ilvl w:val="0"/>
          <w:numId w:val="1004"/>
        </w:numPr>
        <w:pStyle w:val="Compact"/>
      </w:pPr>
      <w:r>
        <w:t xml:space="preserve">A API não guarda estado na memória entre requisições, então é possível rodar várias</w:t>
      </w:r>
      <w:r>
        <w:t xml:space="preserve"> </w:t>
      </w:r>
      <w:r>
        <w:t xml:space="preserve">cópias dela ao mesmo tempo atrás de um balanceador de carga — nos horários de pico,</w:t>
      </w:r>
      <w:r>
        <w:t xml:space="preserve"> </w:t>
      </w:r>
      <w:r>
        <w:t xml:space="preserve">basta adicionar mais cópias;</w:t>
      </w:r>
    </w:p>
    <w:p>
      <w:pPr>
        <w:numPr>
          <w:ilvl w:val="0"/>
          <w:numId w:val="1004"/>
        </w:numPr>
        <w:pStyle w:val="Compact"/>
      </w:pPr>
      <w:r>
        <w:t xml:space="preserve">Os relatórios da matriz podem ler de uma cópia do banco, para não atrapalhar a operação</w:t>
      </w:r>
      <w:r>
        <w:t xml:space="preserve"> </w:t>
      </w:r>
      <w:r>
        <w:t xml:space="preserve">das lojas nos horários de pico;</w:t>
      </w:r>
    </w:p>
    <w:p>
      <w:pPr>
        <w:numPr>
          <w:ilvl w:val="0"/>
          <w:numId w:val="1004"/>
        </w:numPr>
        <w:pStyle w:val="Compact"/>
      </w:pPr>
      <w:r>
        <w:t xml:space="preserve">Se o serviço de pagamento falhar, o pedido fica como</w:t>
      </w:r>
      <w:r>
        <w:t xml:space="preserve"> </w:t>
      </w:r>
      <w:r>
        <w:rPr>
          <w:rStyle w:val="VerbatimChar"/>
        </w:rPr>
        <w:t xml:space="preserve">AGUARDANDO_PAGAMENTO</w:t>
      </w:r>
      <w:r>
        <w:t xml:space="preserve"> </w:t>
      </w:r>
      <w:r>
        <w:t xml:space="preserve">e a</w:t>
      </w:r>
      <w:r>
        <w:t xml:space="preserve"> </w:t>
      </w:r>
      <w:r>
        <w:t xml:space="preserve">solicitação pode ser feita de novo, sem corromper nenhum dado;</w:t>
      </w:r>
    </w:p>
    <w:p>
      <w:pPr>
        <w:numPr>
          <w:ilvl w:val="0"/>
          <w:numId w:val="1004"/>
        </w:numPr>
        <w:pStyle w:val="Compact"/>
      </w:pPr>
      <w:r>
        <w:t xml:space="preserve">As chamadas ao serviço externo têm limite de tempo (timeout) e podem ser repetidas em</w:t>
      </w:r>
      <w:r>
        <w:t xml:space="preserve"> </w:t>
      </w:r>
      <w:r>
        <w:t xml:space="preserve">caso de erro;</w:t>
      </w:r>
    </w:p>
    <w:p>
      <w:pPr>
        <w:numPr>
          <w:ilvl w:val="0"/>
          <w:numId w:val="1004"/>
        </w:numPr>
        <w:pStyle w:val="Compact"/>
      </w:pPr>
      <w:r>
        <w:t xml:space="preserve">Os logs da aplicação e os registros de auditoria permitem rastrear o que aconteceu no</w:t>
      </w:r>
      <w:r>
        <w:t xml:space="preserve"> </w:t>
      </w:r>
      <w:r>
        <w:t xml:space="preserve">sistema (seção 3).</w:t>
      </w:r>
    </w:p>
    <w:p>
      <w:pPr>
        <w:pStyle w:val="Heading3"/>
      </w:pPr>
      <w:bookmarkStart w:id="43" w:name="lgpd-seção-4"/>
      <w:r>
        <w:t xml:space="preserve">LGPD (seção 4)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O consentimento do cliente é registrado com data e hora antes de qualquer uso dos dados</w:t>
      </w:r>
      <w:r>
        <w:t xml:space="preserve"> </w:t>
      </w:r>
      <w:r>
        <w:t xml:space="preserve">para fidelidade ou campanhas;</w:t>
      </w:r>
    </w:p>
    <w:p>
      <w:pPr>
        <w:numPr>
          <w:ilvl w:val="0"/>
          <w:numId w:val="1005"/>
        </w:numPr>
        <w:pStyle w:val="Compact"/>
      </w:pPr>
      <w:r>
        <w:t xml:space="preserve">O cliente pode pedir a anonimização: seus dados pessoais são apagados de forma</w:t>
      </w:r>
      <w:r>
        <w:t xml:space="preserve"> </w:t>
      </w:r>
      <w:r>
        <w:t xml:space="preserve">definitiva, mas os pedidos continuam existindo para os relatórios da matriz (sem</w:t>
      </w:r>
      <w:r>
        <w:t xml:space="preserve"> </w:t>
      </w:r>
      <w:r>
        <w:t xml:space="preserve">identificar ninguém);</w:t>
      </w:r>
    </w:p>
    <w:p>
      <w:pPr>
        <w:numPr>
          <w:ilvl w:val="0"/>
          <w:numId w:val="1005"/>
        </w:numPr>
        <w:pStyle w:val="Compact"/>
      </w:pPr>
      <w:r>
        <w:t xml:space="preserve">Todo acesso a dados pessoais e toda anonimização geram um registro de auditoria;</w:t>
      </w:r>
    </w:p>
    <w:p>
      <w:pPr>
        <w:numPr>
          <w:ilvl w:val="0"/>
          <w:numId w:val="1005"/>
        </w:numPr>
        <w:pStyle w:val="Compact"/>
      </w:pPr>
      <w:r>
        <w:t xml:space="preserve">São guardados apenas os dados necessários: nome, e-mail e data de nascimento (usados</w:t>
      </w:r>
      <w:r>
        <w:t xml:space="preserve"> </w:t>
      </w:r>
      <w:r>
        <w:t xml:space="preserve">pela fidelidade e pelas campanhas por idade/perfil/frequência — seção 4).</w:t>
      </w:r>
    </w:p>
    <w:p>
      <w:pPr>
        <w:pStyle w:val="Heading3"/>
      </w:pPr>
      <w:bookmarkStart w:id="44" w:name="evolução-futura"/>
      <w:r>
        <w:t xml:space="preserve">Evolução futura</w:t>
      </w:r>
      <w:bookmarkEnd w:id="44"/>
    </w:p>
    <w:p>
      <w:pPr>
        <w:pStyle w:val="FirstParagraph"/>
      </w:pPr>
      <w:r>
        <w:t xml:space="preserve">O crescimento da rede (seções 1 e 6) é suportado sem grandes mudanças: novos canais podem</w:t>
      </w:r>
      <w:r>
        <w:t xml:space="preserve"> </w:t>
      </w:r>
      <w:r>
        <w:t xml:space="preserve">consumir a mesma API e, se necessário, os módulos podem ser separados em serviços</w:t>
      </w:r>
      <w:r>
        <w:t xml:space="preserve"> </w:t>
      </w:r>
      <w:r>
        <w:t xml:space="preserve">independentes no futuro.</w:t>
      </w:r>
    </w:p>
    <w:p>
      <w:pPr>
        <w:pStyle w:val="Heading2"/>
      </w:pPr>
      <w:bookmarkStart w:id="45" w:name="documentação-da-api-principais-endpoints"/>
      <w:r>
        <w:t xml:space="preserve">Documentação da API (principais endpoints)</w:t>
      </w:r>
      <w:bookmarkEnd w:id="45"/>
    </w:p>
    <w:p>
      <w:pPr>
        <w:pStyle w:val="FirstParagraph"/>
      </w:pPr>
      <w:r>
        <w:t xml:space="preserve">A documentação interativa (OpenAPI/Swagger) é gerada automaticamente pelo back-end:</w:t>
      </w:r>
    </w:p>
    <w:p>
      <w:pPr>
        <w:numPr>
          <w:ilvl w:val="0"/>
          <w:numId w:val="1006"/>
        </w:numPr>
        <w:pStyle w:val="Compact"/>
      </w:pPr>
      <w: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</w:p>
    <w:p>
      <w:pPr>
        <w:numPr>
          <w:ilvl w:val="0"/>
          <w:numId w:val="1006"/>
        </w:numPr>
        <w:pStyle w:val="Compact"/>
      </w:pPr>
      <w:r>
        <w:t xml:space="preserve">OpenAPI JSON:</w:t>
      </w:r>
      <w:r>
        <w:t xml:space="preserve"> </w:t>
      </w:r>
      <w:r>
        <w:rPr>
          <w:rStyle w:val="VerbatimChar"/>
        </w:rPr>
        <w:t xml:space="preserve">http://localhost:8080/v3/api-docs</w:t>
      </w:r>
    </w:p>
    <w:p>
      <w:pPr>
        <w:pStyle w:val="FirstParagraph"/>
      </w:pPr>
      <w:r>
        <w:t xml:space="preserve">Todos os canais do estudo de caso (aplicativo, totem, balcão, pick-up) consomem esta mesma</w:t>
      </w:r>
      <w:r>
        <w:t xml:space="preserve"> </w:t>
      </w:r>
      <w:r>
        <w:t xml:space="preserve">API, indicando o canal no campo</w:t>
      </w:r>
      <w:r>
        <w:t xml:space="preserve"> </w:t>
      </w:r>
      <w:r>
        <w:rPr>
          <w:rStyle w:val="VerbatimChar"/>
        </w:rPr>
        <w:t xml:space="preserve">canal</w:t>
      </w:r>
      <w:r>
        <w:t xml:space="preserve"> </w:t>
      </w:r>
      <w:r>
        <w:t xml:space="preserve">do pedido.</w:t>
      </w:r>
    </w:p>
    <w:p>
      <w:pPr>
        <w:pStyle w:val="Heading3"/>
      </w:pPr>
      <w:bookmarkStart w:id="46" w:name="unidades-e-cardápio-rf01-rf05-rf19"/>
      <w:r>
        <w:t xml:space="preserve">Unidades e cardápio (RF01, RF05, RF19)</w:t>
      </w:r>
      <w:bookmarkEnd w:id="46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/api/unidades</w:t>
            </w:r>
          </w:p>
        </w:tc>
        <w:tc>
          <w:p>
            <w:pPr>
              <w:pStyle w:val="Compact"/>
              <w:jc w:val="left"/>
            </w:pPr>
            <w:r>
              <w:t xml:space="preserve">Lista as unidades da rede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/api/unidades/{id}</w:t>
            </w:r>
          </w:p>
        </w:tc>
        <w:tc>
          <w:p>
            <w:pPr>
              <w:pStyle w:val="Compact"/>
              <w:jc w:val="left"/>
            </w:pPr>
            <w:r>
              <w:t xml:space="preserve">Detalha uma unidade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/api/unidades</w:t>
            </w:r>
          </w:p>
        </w:tc>
        <w:tc>
          <w:p>
            <w:pPr>
              <w:pStyle w:val="Compact"/>
              <w:jc w:val="left"/>
            </w:pPr>
            <w:r>
              <w:t xml:space="preserve">Cadastra unidade (matriz)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/api/unidades/{id}/cardapio</w:t>
            </w:r>
          </w:p>
        </w:tc>
        <w:tc>
          <w:p>
            <w:pPr>
              <w:pStyle w:val="Compact"/>
              <w:jc w:val="left"/>
            </w:pPr>
            <w:r>
              <w:t xml:space="preserve">Cardápio da unidade — só produtos disponíveis no local e no período (sazonalidade junina, variações regionais)</w:t>
            </w:r>
          </w:p>
        </w:tc>
      </w:tr>
    </w:tbl>
    <w:p>
      <w:pPr>
        <w:pStyle w:val="Heading3"/>
      </w:pPr>
      <w:bookmarkStart w:id="47" w:name="pedidos-rf02-rf03-rf04-rf07-rf12"/>
      <w:r>
        <w:t xml:space="preserve">Pedidos (RF02, RF03, RF04, RF07, RF12)</w:t>
      </w:r>
      <w:bookmarkEnd w:id="47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</w:t>
            </w:r>
          </w:p>
        </w:tc>
        <w:tc>
          <w:p>
            <w:pPr>
              <w:pStyle w:val="Compact"/>
              <w:jc w:val="left"/>
            </w:pPr>
            <w:r>
              <w:t xml:space="preserve">Cria pedido de qualquer canal; valida cardápio/estoque da unidade, aplica desconto progressivo de fidelidade e</w:t>
            </w:r>
            <w:r>
              <w:t xml:space="preserve"> </w:t>
            </w:r>
            <w:r>
              <w:rPr>
                <w:b/>
              </w:rPr>
              <w:t xml:space="preserve">solicita o pagamento externo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/api/pedidos/{id}</w:t>
            </w:r>
          </w:p>
        </w:tc>
        <w:tc>
          <w:p>
            <w:pPr>
              <w:pStyle w:val="Compact"/>
              <w:jc w:val="left"/>
            </w:pPr>
            <w:r>
              <w:t xml:space="preserve">Acompanha o pedido e seu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/api/pedidos?unidadeId=</w:t>
            </w:r>
          </w:p>
        </w:tc>
        <w:tc>
          <w:p>
            <w:pPr>
              <w:pStyle w:val="Compact"/>
              <w:jc w:val="left"/>
            </w:pPr>
            <w:r>
              <w:t xml:space="preserve">Lista pedidos da unidade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/api/pedidos/{id}/avancar</w:t>
            </w:r>
          </w:p>
        </w:tc>
        <w:tc>
          <w:p>
            <w:pPr>
              <w:pStyle w:val="Compact"/>
              <w:jc w:val="left"/>
            </w:pPr>
            <w:r>
              <w:t xml:space="preserve">Avança status: PAGO → EM_PREPARO → PRONTO → ENTREGUE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/api/pedidos/{id}/cancelamento</w:t>
            </w:r>
          </w:p>
        </w:tc>
        <w:tc>
          <w:p>
            <w:pPr>
              <w:pStyle w:val="Compact"/>
              <w:jc w:val="left"/>
            </w:pPr>
            <w:r>
              <w:t xml:space="preserve">Cancela (operação sensível — auditada; devolve estoque se já pago)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/api/pedidos/{id}/desconto</w:t>
            </w:r>
          </w:p>
        </w:tc>
        <w:tc>
          <w:p>
            <w:pPr>
              <w:pStyle w:val="Compact"/>
              <w:jc w:val="left"/>
            </w:pPr>
            <w:r>
              <w:t xml:space="preserve">Desconto manual (operação sensível — auditada)</w:t>
            </w:r>
          </w:p>
        </w:tc>
      </w:tr>
    </w:tbl>
    <w:p>
      <w:pPr>
        <w:pStyle w:val="BodyText"/>
      </w:pPr>
      <w:r>
        <w:t xml:space="preserve">Exemplo — criar pedido: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/api/pedidos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"unidadeId"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"APLICATIVO"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Ciclo de vida do pedido (INF01):</w:t>
      </w:r>
      <w:r>
        <w:t xml:space="preserve"> </w:t>
      </w:r>
      <w:r>
        <w:rPr>
          <w:rStyle w:val="VerbatimChar"/>
        </w:rPr>
        <w:t xml:space="preserve">CRIADO → AGUARDANDO_PAGAMENTO → PAGO → EM_PREPARO → PRONTO → ENTREGUE</w:t>
      </w:r>
      <w:r>
        <w:t xml:space="preserve">,</w:t>
      </w:r>
      <w:r>
        <w:t xml:space="preserve"> </w:t>
      </w:r>
      <w:r>
        <w:t xml:space="preserve">com desvios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PAGAMENTO_RECUSADO</w:t>
      </w:r>
      <w:r>
        <w:t xml:space="preserve">.</w:t>
      </w:r>
    </w:p>
    <w:p>
      <w:pPr>
        <w:pStyle w:val="Heading3"/>
      </w:pPr>
      <w:bookmarkStart w:id="48" w:name="pagamentos-rf17-rf18"/>
      <w:r>
        <w:t xml:space="preserve">Pagamentos (RF17, RF18)</w:t>
      </w:r>
      <w:bookmarkEnd w:id="48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/api/pagamentos/{pedidoId}/resultado</w:t>
            </w:r>
          </w:p>
        </w:tc>
        <w:tc>
          <w:p>
            <w:pPr>
              <w:pStyle w:val="Compact"/>
              <w:jc w:val="left"/>
            </w:pPr>
            <w:r>
              <w:t xml:space="preserve">Retorno do serviço externo com</w:t>
            </w:r>
            <w:r>
              <w:t xml:space="preserve"> </w:t>
            </w:r>
            <w:r>
              <w:rPr>
                <w:rStyle w:val="VerbatimChar"/>
              </w:rPr>
              <w:t xml:space="preserve">CONFIRMADO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RECUSADO</w:t>
            </w:r>
            <w:r>
              <w:t xml:space="preserve">. Se o mesmo resultado for enviado duas vezes, o sistema ignora a repetição</w:t>
            </w:r>
          </w:p>
        </w:tc>
      </w:tr>
    </w:tbl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/api/pagamentos/1/resultado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"referenciaExterna"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"EXT-abc"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sistema nunca recebe dados de cartão — apenas o resultado do processamento externo</w:t>
      </w:r>
      <w:r>
        <w:t xml:space="preserve"> </w:t>
      </w:r>
      <w:r>
        <w:t xml:space="preserve">(estudo de caso, seção 5).</w:t>
      </w:r>
    </w:p>
    <w:p>
      <w:pPr>
        <w:pStyle w:val="Heading3"/>
      </w:pPr>
      <w:bookmarkStart w:id="49" w:name="clientes-fidelidade-e-lgpd-rf11rf16"/>
      <w:r>
        <w:t xml:space="preserve">Clientes, fidelidade e LGPD (RF11–RF16)</w:t>
      </w:r>
      <w:bookmarkEnd w:id="49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/api/clientes</w:t>
            </w:r>
          </w:p>
        </w:tc>
        <w:tc>
          <w:p>
            <w:pPr>
              <w:pStyle w:val="Compact"/>
              <w:jc w:val="left"/>
            </w:pPr>
            <w:r>
              <w:t xml:space="preserve">Cadastro (com consentimento explícito opcional)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/api/clientes/{id}</w:t>
            </w:r>
          </w:p>
        </w:tc>
        <w:tc>
          <w:p>
            <w:pPr>
              <w:pStyle w:val="Compact"/>
              <w:jc w:val="left"/>
            </w:pPr>
            <w:r>
              <w:t xml:space="preserve">Consulta dados pessoais — exige header</w:t>
            </w:r>
            <w:r>
              <w:t xml:space="preserve"> </w:t>
            </w:r>
            <w:r>
              <w:rPr>
                <w:rStyle w:val="VerbatimChar"/>
              </w:rPr>
              <w:t xml:space="preserve">X-Autor</w:t>
            </w:r>
            <w:r>
              <w:t xml:space="preserve"> </w:t>
            </w:r>
            <w:r>
              <w:t xml:space="preserve">e gera auditoria de acesso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/api/clientes/{id}/consentimento</w:t>
            </w:r>
          </w:p>
        </w:tc>
        <w:tc>
          <w:p>
            <w:pPr>
              <w:pStyle w:val="Compact"/>
              <w:jc w:val="left"/>
            </w:pPr>
            <w:r>
              <w:t xml:space="preserve">Registra consentimento explícito e abre a conta de fidelidade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/api/clientes/{id}/anonimizacao</w:t>
            </w:r>
          </w:p>
        </w:tc>
        <w:tc>
          <w:p>
            <w:pPr>
              <w:pStyle w:val="Compact"/>
              <w:jc w:val="left"/>
            </w:pPr>
            <w:r>
              <w:t xml:space="preserve">Anonimização definitiva dos dados do cliente (auditada) — exige header</w:t>
            </w:r>
            <w:r>
              <w:t xml:space="preserve"> </w:t>
            </w:r>
            <w:r>
              <w:rPr>
                <w:rStyle w:val="VerbatimChar"/>
              </w:rPr>
              <w:t xml:space="preserve">X-Autor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/api/clientes/{id}/fidelidade</w:t>
            </w:r>
          </w:p>
        </w:tc>
        <w:tc>
          <w:p>
            <w:pPr>
              <w:pStyle w:val="Compact"/>
              <w:jc w:val="left"/>
            </w:pPr>
            <w:r>
              <w:t xml:space="preserve">Pontos, percentual de desconto progressivo e frequência de consumo</w:t>
            </w:r>
          </w:p>
        </w:tc>
      </w:tr>
    </w:tbl>
    <w:p>
      <w:pPr>
        <w:pStyle w:val="BodyText"/>
      </w:pPr>
      <w:r>
        <w:t xml:space="preserve">Regras de fidelidade (INF03): 1 ponto por R$1 em pedidos confirmados; desconto progressivo</w:t>
      </w:r>
      <w:r>
        <w:t xml:space="preserve"> </w:t>
      </w:r>
      <w:r>
        <w:t xml:space="preserve">por faixa — 100+ pontos: 5%; 500+: 10%; 1000+: 15%. Pontos e desconto só se aplicam a</w:t>
      </w:r>
      <w:r>
        <w:t xml:space="preserve"> </w:t>
      </w:r>
      <w:r>
        <w:t xml:space="preserve">clientes</w:t>
      </w:r>
      <w:r>
        <w:t xml:space="preserve"> </w:t>
      </w:r>
      <w:r>
        <w:rPr>
          <w:b/>
        </w:rPr>
        <w:t xml:space="preserve">com consentimento LGPD</w:t>
      </w:r>
      <w:r>
        <w:t xml:space="preserve">.</w:t>
      </w:r>
    </w:p>
    <w:p>
      <w:pPr>
        <w:pStyle w:val="Heading3"/>
      </w:pPr>
      <w:bookmarkStart w:id="50" w:name="estoque-rf06-rf07"/>
      <w:r>
        <w:t xml:space="preserve">Estoque (RF06, RF07)</w:t>
      </w:r>
      <w:bookmarkEnd w:id="50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/api/estoque?unidadeId=</w:t>
            </w:r>
          </w:p>
        </w:tc>
        <w:tc>
          <w:p>
            <w:pPr>
              <w:pStyle w:val="Compact"/>
              <w:jc w:val="left"/>
            </w:pPr>
            <w:r>
              <w:t xml:space="preserve">Estoque local da unidade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/api/estoque/{itemId}/ajuste</w:t>
            </w:r>
          </w:p>
        </w:tc>
        <w:tc>
          <w:p>
            <w:pPr>
              <w:pStyle w:val="Compact"/>
              <w:jc w:val="left"/>
            </w:pPr>
            <w:r>
              <w:t xml:space="preserve">Ajuste manual (operação sensível — auditada)</w:t>
            </w:r>
          </w:p>
        </w:tc>
      </w:tr>
    </w:tbl>
    <w:p>
      <w:pPr>
        <w:pStyle w:val="Heading3"/>
      </w:pPr>
      <w:bookmarkStart w:id="51" w:name="relatórios-da-matriz-rf08-rf09-rf10-rf20"/>
      <w:r>
        <w:t xml:space="preserve">Relatórios da matriz (RF08, RF09, RF10, RF20)</w:t>
      </w:r>
      <w:bookmarkEnd w:id="51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/api/relatorios/vendas-por-unidade</w:t>
            </w:r>
          </w:p>
        </w:tc>
        <w:tc>
          <w:p>
            <w:pPr>
              <w:pStyle w:val="Compact"/>
              <w:jc w:val="left"/>
            </w:pPr>
            <w:r>
              <w:t xml:space="preserve">Vendas consolidadas por unidade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/api/relatorios/vendas-por-regiao</w:t>
            </w:r>
          </w:p>
        </w:tc>
        <w:tc>
          <w:p>
            <w:pPr>
              <w:pStyle w:val="Compact"/>
              <w:jc w:val="left"/>
            </w:pPr>
            <w:r>
              <w:t xml:space="preserve">Vendas consolidadas por região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/api/relatorios/produtos-mais-consumidos</w:t>
            </w:r>
          </w:p>
        </w:tc>
        <w:tc>
          <w:p>
            <w:pPr>
              <w:pStyle w:val="Compact"/>
              <w:jc w:val="left"/>
            </w:pPr>
            <w:r>
              <w:t xml:space="preserve">Ranking de produtos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/api/relatorios/indicadores/{unidadeId}</w:t>
            </w:r>
          </w:p>
        </w:tc>
        <w:tc>
          <w:p>
            <w:pPr>
              <w:pStyle w:val="Compact"/>
              <w:jc w:val="left"/>
            </w:pPr>
            <w:r>
              <w:t xml:space="preserve">Metas × vendas realizadas por unidade</w:t>
            </w:r>
          </w:p>
        </w:tc>
      </w:tr>
    </w:tbl>
    <w:p>
      <w:pPr>
        <w:pStyle w:val="Heading3"/>
      </w:pPr>
      <w:bookmarkStart w:id="52" w:name="auditoria-rf07-rf16"/>
      <w:r>
        <w:t xml:space="preserve">Auditoria (RF07, RF16)</w:t>
      </w:r>
      <w:bookmarkEnd w:id="52"/>
    </w:p>
    <w:tbl>
      <w:tblPr>
        <w:tblStyle w:val="Table"/>
        <w:tblW w:type="pct" w:w="5000.0"/>
        <w:tblLook w:firstRow="1"/>
      </w:tblPr>
      <w:tblGrid>
        <w:gridCol w:w="2534"/>
        <w:gridCol w:w="1900"/>
        <w:gridCol w:w="34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/api/auditoria?tipo=</w:t>
            </w:r>
          </w:p>
        </w:tc>
        <w:tc>
          <w:p>
            <w:pPr>
              <w:pStyle w:val="Compact"/>
              <w:jc w:val="left"/>
            </w:pPr>
            <w:r>
              <w:t xml:space="preserve">Trilha de auditoria; filtro por tipo (</w:t>
            </w:r>
            <w:r>
              <w:rPr>
                <w:rStyle w:val="VerbatimChar"/>
              </w:rPr>
              <w:t xml:space="preserve">CANCELAMENTO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DESCONTO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AJUSTE_ESTOQUE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ACESSO_DADOS_PESSOAIS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ANONIMIZACAO</w:t>
            </w:r>
            <w:r>
              <w:t xml:space="preserve">)</w:t>
            </w:r>
          </w:p>
        </w:tc>
      </w:tr>
    </w:tbl>
    <w:p>
      <w:pPr>
        <w:pStyle w:val="Heading3"/>
      </w:pPr>
      <w:bookmarkStart w:id="53" w:name="erros"/>
      <w:r>
        <w:t xml:space="preserve">Erros</w:t>
      </w:r>
      <w:bookmarkEnd w:id="53"/>
    </w:p>
    <w:tbl>
      <w:tblPr>
        <w:tblStyle w:val="Table"/>
        <w:tblW w:type="pct" w:w="5000.0"/>
        <w:tblLook w:firstRow="1"/>
      </w:tblPr>
      <w:tblGrid>
        <w:gridCol w:w="2970"/>
        <w:gridCol w:w="4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entrada (Bean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Recurso não encontrado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t xml:space="preserve">Regra de negócio violada (produto fora do cardápio da unidade, estoque insuficiente, status inválido…)</w:t>
            </w:r>
          </w:p>
        </w:tc>
      </w:tr>
    </w:tbl>
    <w:p>
      <w:pPr>
        <w:pStyle w:val="Heading1"/>
      </w:pPr>
      <w:bookmarkStart w:id="54" w:name="entrega-técnica"/>
      <w:r>
        <w:t xml:space="preserve">4. Entrega Técnica</w:t>
      </w:r>
      <w:bookmarkEnd w:id="54"/>
    </w:p>
    <w:p>
      <w:pPr>
        <w:pStyle w:val="Heading2"/>
      </w:pPr>
      <w:bookmarkStart w:id="55" w:name="repositório"/>
      <w:r>
        <w:t xml:space="preserve">Repositório</w:t>
      </w:r>
      <w:bookmarkEnd w:id="55"/>
    </w:p>
    <w:p>
      <w:pPr>
        <w:pStyle w:val="FirstParagraph"/>
      </w:pPr>
      <w:r>
        <w:t xml:space="preserve">Todo o código-fonte, a documentação e os diagramas estão versionados em:</w:t>
      </w:r>
    </w:p>
    <w:p>
      <w:pPr>
        <w:pStyle w:val="BodyText"/>
      </w:pPr>
      <w:r>
        <w:rPr>
          <w:b/>
        </w:rPr>
        <w:t xml:space="preserve">https://github.com/Ramo-n/raizes-do-nordeste-backend</w:t>
      </w:r>
    </w:p>
    <w:p>
      <w:pPr>
        <w:pStyle w:val="Heading2"/>
      </w:pPr>
      <w:bookmarkStart w:id="56" w:name="artefatos-entregues"/>
      <w:r>
        <w:t xml:space="preserve">Artefatos entregues</w:t>
      </w:r>
      <w:bookmarkEnd w:id="56"/>
    </w:p>
    <w:p>
      <w:pPr>
        <w:numPr>
          <w:ilvl w:val="0"/>
          <w:numId w:val="1007"/>
        </w:numPr>
        <w:pStyle w:val="Compact"/>
      </w:pPr>
      <w:r>
        <w:t xml:space="preserve">Código do back-end (Java 17 + Spring Boot 3) — pasta</w:t>
      </w:r>
      <w:r>
        <w:t xml:space="preserve"> </w:t>
      </w:r>
      <w:r>
        <w:rPr>
          <w:rStyle w:val="VerbatimChar"/>
        </w:rPr>
        <w:t xml:space="preserve">backend/src/main/java</w:t>
      </w:r>
    </w:p>
    <w:p>
      <w:pPr>
        <w:numPr>
          <w:ilvl w:val="0"/>
          <w:numId w:val="1007"/>
        </w:numPr>
        <w:pStyle w:val="Compact"/>
      </w:pPr>
      <w:r>
        <w:t xml:space="preserve">Testes automatizados (12 testes, JUnit 5) — pasta</w:t>
      </w:r>
      <w:r>
        <w:t xml:space="preserve"> </w:t>
      </w:r>
      <w:r>
        <w:rPr>
          <w:rStyle w:val="VerbatimChar"/>
        </w:rPr>
        <w:t xml:space="preserve">backend/src/test/java</w:t>
      </w:r>
    </w:p>
    <w:p>
      <w:pPr>
        <w:numPr>
          <w:ilvl w:val="0"/>
          <w:numId w:val="1007"/>
        </w:numPr>
        <w:pStyle w:val="Compact"/>
      </w:pPr>
      <w:r>
        <w:t xml:space="preserve">Massa de dados de exemplo — arquivo</w:t>
      </w:r>
      <w:r>
        <w:t xml:space="preserve"> </w:t>
      </w:r>
      <w:r>
        <w:rPr>
          <w:rStyle w:val="VerbatimChar"/>
        </w:rPr>
        <w:t xml:space="preserve">backend/src/main/resources/data.sql</w:t>
      </w:r>
    </w:p>
    <w:p>
      <w:pPr>
        <w:numPr>
          <w:ilvl w:val="0"/>
          <w:numId w:val="1007"/>
        </w:numPr>
        <w:pStyle w:val="Compact"/>
      </w:pPr>
      <w:r>
        <w:t xml:space="preserve">Levantamento de requisitos —</w:t>
      </w:r>
      <w:r>
        <w:t xml:space="preserve"> </w:t>
      </w:r>
      <w:r>
        <w:rPr>
          <w:rStyle w:val="VerbatimChar"/>
        </w:rPr>
        <w:t xml:space="preserve">documentacao/01-requisitos.md</w:t>
      </w:r>
    </w:p>
    <w:p>
      <w:pPr>
        <w:numPr>
          <w:ilvl w:val="0"/>
          <w:numId w:val="1007"/>
        </w:numPr>
        <w:pStyle w:val="Compact"/>
      </w:pPr>
      <w:r>
        <w:t xml:space="preserve">Arquitetura proposta —</w:t>
      </w:r>
      <w:r>
        <w:t xml:space="preserve"> </w:t>
      </w:r>
      <w:r>
        <w:rPr>
          <w:rStyle w:val="VerbatimChar"/>
        </w:rPr>
        <w:t xml:space="preserve">documentacao/02-arquitetura.md</w:t>
      </w:r>
    </w:p>
    <w:p>
      <w:pPr>
        <w:numPr>
          <w:ilvl w:val="0"/>
          <w:numId w:val="1007"/>
        </w:numPr>
        <w:pStyle w:val="Compact"/>
      </w:pPr>
      <w:r>
        <w:t xml:space="preserve">Documentação da API —</w:t>
      </w:r>
      <w:r>
        <w:t xml:space="preserve"> </w:t>
      </w:r>
      <w:r>
        <w:rPr>
          <w:rStyle w:val="VerbatimChar"/>
        </w:rPr>
        <w:t xml:space="preserve">documentacao/03-api.md</w:t>
      </w:r>
    </w:p>
    <w:p>
      <w:pPr>
        <w:numPr>
          <w:ilvl w:val="0"/>
          <w:numId w:val="1007"/>
        </w:numPr>
        <w:pStyle w:val="Compact"/>
      </w:pPr>
      <w:r>
        <w:t xml:space="preserve">Plano de testes —</w:t>
      </w:r>
      <w:r>
        <w:t xml:space="preserve"> </w:t>
      </w:r>
      <w:r>
        <w:rPr>
          <w:rStyle w:val="VerbatimChar"/>
        </w:rPr>
        <w:t xml:space="preserve">documentacao/04-plano-de-testes.md</w:t>
      </w:r>
    </w:p>
    <w:p>
      <w:pPr>
        <w:numPr>
          <w:ilvl w:val="0"/>
          <w:numId w:val="1007"/>
        </w:numPr>
        <w:pStyle w:val="Compact"/>
      </w:pPr>
      <w:r>
        <w:t xml:space="preserve">Diagramas (casos de uso, classes, DER) — pasta</w:t>
      </w:r>
      <w:r>
        <w:t xml:space="preserve"> </w:t>
      </w:r>
      <w:r>
        <w:rPr>
          <w:rStyle w:val="VerbatimChar"/>
        </w:rPr>
        <w:t xml:space="preserve">documentacao/diagramas/</w:t>
      </w:r>
    </w:p>
    <w:p>
      <w:pPr>
        <w:pStyle w:val="Heading2"/>
      </w:pPr>
      <w:bookmarkStart w:id="57" w:name="como-executar-a-demonstração"/>
      <w:r>
        <w:t xml:space="preserve">Como executar a demonstração</w:t>
      </w:r>
      <w:bookmarkEnd w:id="57"/>
    </w:p>
    <w:p>
      <w:pPr>
        <w:numPr>
          <w:ilvl w:val="0"/>
          <w:numId w:val="1008"/>
        </w:numPr>
        <w:pStyle w:val="Compact"/>
      </w:pPr>
      <w:r>
        <w:t xml:space="preserve">Clonar o repositório e entrar na pasta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mvn spring-boot:run</w:t>
      </w:r>
      <w:r>
        <w:t xml:space="preserve"> </w:t>
      </w:r>
      <w:r>
        <w:t xml:space="preserve">(requer Java 17 e Maven);</w:t>
      </w:r>
    </w:p>
    <w:p>
      <w:pPr>
        <w:numPr>
          <w:ilvl w:val="0"/>
          <w:numId w:val="1008"/>
        </w:numPr>
        <w:pStyle w:val="Compact"/>
      </w:pPr>
      <w:r>
        <w:t xml:space="preserve">Acessar a documentação interativa da API em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Executar os testes automatizados com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.</w:t>
      </w:r>
    </w:p>
    <w:p>
      <w:pPr>
        <w:pStyle w:val="Heading2"/>
      </w:pPr>
      <w:bookmarkStart w:id="58" w:name="evidências"/>
      <w:r>
        <w:t xml:space="preserve">Evidências</w:t>
      </w:r>
      <w:bookmarkEnd w:id="58"/>
    </w:p>
    <w:p>
      <w:pPr>
        <w:numPr>
          <w:ilvl w:val="0"/>
          <w:numId w:val="1009"/>
        </w:numPr>
        <w:pStyle w:val="Compact"/>
      </w:pPr>
      <w:r>
        <w:t xml:space="preserve">12 testes automatizados passando (</w:t>
      </w:r>
      <w:r>
        <w:rPr>
          <w:rStyle w:val="VerbatimChar"/>
        </w:rPr>
        <w:t xml:space="preserve">mvn test</w:t>
      </w:r>
      <w:r>
        <w:t xml:space="preserve">): fluxo de pedido, pagamento, estoque,</w:t>
      </w:r>
      <w:r>
        <w:t xml:space="preserve"> </w:t>
      </w:r>
      <w:r>
        <w:t xml:space="preserve">fidelidade, sazonalidade do cardápio, auditoria e LGPD;</w:t>
      </w:r>
    </w:p>
    <w:p>
      <w:pPr>
        <w:numPr>
          <w:ilvl w:val="0"/>
          <w:numId w:val="1009"/>
        </w:numPr>
        <w:pStyle w:val="Compact"/>
      </w:pPr>
      <w:r>
        <w:t xml:space="preserve">API documentada automaticamente via OpenAPI/Swagger;</w:t>
      </w:r>
    </w:p>
    <w:p>
      <w:pPr>
        <w:numPr>
          <w:ilvl w:val="0"/>
          <w:numId w:val="1009"/>
        </w:numPr>
        <w:pStyle w:val="Compact"/>
      </w:pPr>
      <w:r>
        <w:t xml:space="preserve">Trilha de auditoria consultável em</w:t>
      </w:r>
      <w:r>
        <w:t xml:space="preserve"> </w:t>
      </w:r>
      <w:r>
        <w:rPr>
          <w:rStyle w:val="VerbatimChar"/>
        </w:rPr>
        <w:t xml:space="preserve">GET /api/auditoria</w:t>
      </w:r>
      <w:r>
        <w:t xml:space="preserve">.</w:t>
      </w:r>
    </w:p>
    <w:p>
      <w:pPr>
        <w:pStyle w:val="Heading1"/>
      </w:pPr>
      <w:bookmarkStart w:id="59" w:name="plano-de-testes-e-evidências"/>
      <w:r>
        <w:t xml:space="preserve">5. Plano de Testes e Evidências</w:t>
      </w:r>
      <w:bookmarkEnd w:id="59"/>
    </w:p>
    <w:p>
      <w:pPr>
        <w:pStyle w:val="Heading2"/>
      </w:pPr>
      <w:bookmarkStart w:id="60" w:name="objetivo"/>
      <w:r>
        <w:t xml:space="preserve">Objetivo</w:t>
      </w:r>
      <w:bookmarkEnd w:id="60"/>
    </w:p>
    <w:p>
      <w:pPr>
        <w:pStyle w:val="FirstParagraph"/>
      </w:pPr>
      <w:r>
        <w:t xml:space="preserve">Verificar que o back-end atende aos requisitos funcionais levantados no estudo de caso,</w:t>
      </w:r>
      <w:r>
        <w:t xml:space="preserve"> </w:t>
      </w:r>
      <w:r>
        <w:t xml:space="preserve">com foco nas regras de negócio críticas: cardápio por unidade, ciclo do pedido, integração</w:t>
      </w:r>
      <w:r>
        <w:t xml:space="preserve"> </w:t>
      </w:r>
      <w:r>
        <w:t xml:space="preserve">de pagamento, estoque, fidelidade, auditoria e LGPD.</w:t>
      </w:r>
    </w:p>
    <w:p>
      <w:pPr>
        <w:pStyle w:val="Heading2"/>
      </w:pPr>
      <w:bookmarkStart w:id="61" w:name="estratégia"/>
      <w:r>
        <w:t xml:space="preserve">Estratégia</w:t>
      </w:r>
      <w:bookmarkEnd w:id="61"/>
    </w:p>
    <w:tbl>
      <w:tblPr>
        <w:tblStyle w:val="Table"/>
        <w:tblW w:type="pct" w:w="5000.0"/>
        <w:tblLook w:firstRow="1"/>
      </w:tblPr>
      <w:tblGrid>
        <w:gridCol w:w="1911"/>
        <w:gridCol w:w="3004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Abordagem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(serviço + banco)</w:t>
            </w:r>
          </w:p>
        </w:tc>
        <w:tc>
          <w:p>
            <w:pPr>
              <w:pStyle w:val="Compact"/>
              <w:jc w:val="left"/>
            </w:pPr>
            <w:r>
              <w:t xml:space="preserve">Testes automatizados</w:t>
            </w:r>
            <w:r>
              <w:t xml:space="preserve"> </w:t>
            </w:r>
            <w:r>
              <w:rPr>
                <w:rStyle w:val="VerbatimChar"/>
              </w:rPr>
              <w:t xml:space="preserve">@SpringBootTest</w:t>
            </w:r>
            <w:r>
              <w:t xml:space="preserve"> </w:t>
            </w:r>
            <w:r>
              <w:t xml:space="preserve">com H2 em memória e massa de dados do</w:t>
            </w:r>
            <w:r>
              <w:t xml:space="preserve"> </w:t>
            </w:r>
            <w:r>
              <w:rPr>
                <w:rStyle w:val="VerbatimChar"/>
              </w:rPr>
              <w:t xml:space="preserve">data.sql</w:t>
            </w:r>
          </w:p>
        </w:tc>
        <w:tc>
          <w:p>
            <w:pPr>
              <w:pStyle w:val="Compact"/>
              <w:jc w:val="left"/>
            </w:pPr>
            <w:r>
              <w:t xml:space="preserve">JUnit 5 + AssertJ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(manual/exploratório)</w:t>
            </w:r>
          </w:p>
        </w:tc>
        <w:tc>
          <w:p>
            <w:pPr>
              <w:pStyle w:val="Compact"/>
              <w:jc w:val="left"/>
            </w:pPr>
            <w:r>
              <w:t xml:space="preserve">Execução dos endpoints via Swagger UI seguindo os casos abaixo</w:t>
            </w:r>
          </w:p>
        </w:tc>
        <w:tc>
          <w:p>
            <w:pPr>
              <w:pStyle w:val="Compact"/>
              <w:jc w:val="left"/>
            </w:pPr>
            <w:r>
              <w:t xml:space="preserve">Swagger UI / curl</w:t>
            </w:r>
          </w:p>
        </w:tc>
      </w:tr>
    </w:tbl>
    <w:p>
      <w:pPr>
        <w:pStyle w:val="BodyText"/>
      </w:pPr>
      <w:r>
        <w:t xml:space="preserve">Execução automatizada:</w:t>
      </w:r>
      <w:r>
        <w:t xml:space="preserve"> </w:t>
      </w:r>
      <w:r>
        <w:rPr>
          <w:rStyle w:val="VerbatimChar"/>
        </w:rPr>
        <w:t xml:space="preserve">cd backend &amp;&amp; mvn test</w:t>
      </w:r>
      <w:r>
        <w:t xml:space="preserve">.</w:t>
      </w:r>
    </w:p>
    <w:p>
      <w:pPr>
        <w:pStyle w:val="Heading2"/>
      </w:pPr>
      <w:bookmarkStart w:id="62" w:name="casos-de-teste"/>
      <w:r>
        <w:t xml:space="preserve">Casos de teste</w:t>
      </w:r>
      <w:bookmarkEnd w:id="62"/>
    </w:p>
    <w:tbl>
      <w:tblPr>
        <w:tblStyle w:val="Table"/>
        <w:tblW w:type="pct" w:w="5000.0"/>
        <w:tblLook w:firstRow="1"/>
      </w:tblPr>
      <w:tblGrid>
        <w:gridCol w:w="720"/>
        <w:gridCol w:w="1980"/>
        <w:gridCol w:w="162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CT01</w:t>
            </w:r>
          </w:p>
        </w:tc>
        <w:tc>
          <w:p>
            <w:pPr>
              <w:pStyle w:val="Compact"/>
              <w:jc w:val="left"/>
            </w:pPr>
            <w:r>
              <w:t xml:space="preserve">RF01/RF05</w:t>
            </w:r>
          </w:p>
        </w:tc>
        <w:tc>
          <w:p>
            <w:pPr>
              <w:pStyle w:val="Compact"/>
              <w:jc w:val="left"/>
            </w:pPr>
            <w:r>
              <w:t xml:space="preserve">Consultar cardápio da unidade reduzida (SP)</w:t>
            </w:r>
          </w:p>
        </w:tc>
        <w:tc>
          <w:p>
            <w:pPr>
              <w:pStyle w:val="Compact"/>
              <w:jc w:val="left"/>
            </w:pPr>
            <w:r>
              <w:t xml:space="preserve">Não lista produtos exclusivos de Recife (bolo de macaxeira, combo)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CT02</w:t>
            </w:r>
          </w:p>
        </w:tc>
        <w:tc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p>
            <w:pPr>
              <w:pStyle w:val="Compact"/>
              <w:jc w:val="left"/>
            </w:pPr>
            <w:r>
              <w:t xml:space="preserve">Consultar cardápio fora/dentro do período junino</w:t>
            </w:r>
          </w:p>
        </w:tc>
        <w:tc>
          <w:p>
            <w:pPr>
              <w:pStyle w:val="Compact"/>
              <w:jc w:val="left"/>
            </w:pPr>
            <w:r>
              <w:t xml:space="preserve">Canjica junina só aparece entre maio e julho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CT03</w:t>
            </w:r>
          </w:p>
        </w:tc>
        <w:tc>
          <w:p>
            <w:pPr>
              <w:pStyle w:val="Compact"/>
              <w:jc w:val="left"/>
            </w:pPr>
            <w:r>
              <w:t xml:space="preserve">RF02/RF12/RF17</w:t>
            </w:r>
          </w:p>
        </w:tc>
        <w:tc>
          <w:p>
            <w:pPr>
              <w:pStyle w:val="Compact"/>
              <w:jc w:val="left"/>
            </w:pPr>
            <w:r>
              <w:t xml:space="preserve">Criar pedido de cliente com 120 pontos (2 tapiocas, R$24)</w:t>
            </w:r>
          </w:p>
        </w:tc>
        <w:tc>
          <w:p>
            <w:pPr>
              <w:pStyle w:val="Compact"/>
              <w:jc w:val="left"/>
            </w:pPr>
            <w:r>
              <w:t xml:space="preserve">Pedido</w:t>
            </w:r>
            <w:r>
              <w:t xml:space="preserve"> </w:t>
            </w:r>
            <w:r>
              <w:rPr>
                <w:rStyle w:val="VerbatimChar"/>
              </w:rPr>
              <w:t xml:space="preserve">AGUARDANDO_PAGAMENTO</w:t>
            </w:r>
            <w:r>
              <w:t xml:space="preserve">, desconto 5% (R$1,20), pagamento solicitado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CT04</w:t>
            </w:r>
          </w:p>
        </w:tc>
        <w:tc>
          <w:p>
            <w:pPr>
              <w:pStyle w:val="Compact"/>
              <w:jc w:val="left"/>
            </w:pPr>
            <w:r>
              <w:t xml:space="preserve">RF17/RF06/RF11</w:t>
            </w:r>
          </w:p>
        </w:tc>
        <w:tc>
          <w:p>
            <w:pPr>
              <w:pStyle w:val="Compact"/>
              <w:jc w:val="left"/>
            </w:pPr>
            <w:r>
              <w:t xml:space="preserve">Serviço externo confirma o pagamento</w:t>
            </w:r>
          </w:p>
        </w:tc>
        <w:tc>
          <w:p>
            <w:pPr>
              <w:pStyle w:val="Compact"/>
              <w:jc w:val="left"/>
            </w:pPr>
            <w:r>
              <w:t xml:space="preserve">Pedido</w:t>
            </w:r>
            <w:r>
              <w:t xml:space="preserve"> </w:t>
            </w:r>
            <w:r>
              <w:rPr>
                <w:rStyle w:val="VerbatimChar"/>
              </w:rPr>
              <w:t xml:space="preserve">PAGO</w:t>
            </w:r>
            <w:r>
              <w:t xml:space="preserve">, estoque baixado, pontos acumulados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CT05</w:t>
            </w:r>
          </w:p>
        </w:tc>
        <w:tc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p>
            <w:pPr>
              <w:pStyle w:val="Compact"/>
              <w:jc w:val="left"/>
            </w:pPr>
            <w:r>
              <w:t xml:space="preserve">Resultado do pagamento enviado duas vezes (duplicado)</w:t>
            </w:r>
          </w:p>
        </w:tc>
        <w:tc>
          <w:p>
            <w:pPr>
              <w:pStyle w:val="Compact"/>
              <w:jc w:val="left"/>
            </w:pPr>
            <w:r>
              <w:t xml:space="preserve">A repetição é ignorada: estoque e pontos não mudam de novo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CT06</w:t>
            </w:r>
          </w:p>
        </w:tc>
        <w:tc>
          <w:p>
            <w:pPr>
              <w:pStyle w:val="Compact"/>
              <w:jc w:val="left"/>
            </w:pPr>
            <w:r>
              <w:t xml:space="preserve">RF17/RF18</w:t>
            </w:r>
          </w:p>
        </w:tc>
        <w:tc>
          <w:p>
            <w:pPr>
              <w:pStyle w:val="Compact"/>
              <w:jc w:val="left"/>
            </w:pPr>
            <w:r>
              <w:t xml:space="preserve">Serviço externo recusa o pagamento</w:t>
            </w:r>
          </w:p>
        </w:tc>
        <w:tc>
          <w:p>
            <w:pPr>
              <w:pStyle w:val="Compact"/>
              <w:jc w:val="left"/>
            </w:pPr>
            <w:r>
              <w:t xml:space="preserve">Pedido</w:t>
            </w:r>
            <w:r>
              <w:t xml:space="preserve"> </w:t>
            </w:r>
            <w:r>
              <w:rPr>
                <w:rStyle w:val="VerbatimChar"/>
              </w:rPr>
              <w:t xml:space="preserve">PAGAMENTO_RECUSADO</w:t>
            </w:r>
            <w:r>
              <w:t xml:space="preserve">, estoque intacto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CT07</w:t>
            </w:r>
          </w:p>
        </w:tc>
        <w:tc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p>
            <w:pPr>
              <w:pStyle w:val="Compact"/>
              <w:jc w:val="left"/>
            </w:pPr>
            <w:r>
              <w:t xml:space="preserve">Cancelar pedido pago</w:t>
            </w:r>
          </w:p>
        </w:tc>
        <w:tc>
          <w:p>
            <w:pPr>
              <w:pStyle w:val="Compact"/>
              <w:jc w:val="left"/>
            </w:pPr>
            <w:r>
              <w:t xml:space="preserve">Pedido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, estoque devolvido, registro de auditoria com autor/justificativa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CT08</w:t>
            </w:r>
          </w:p>
        </w:tc>
        <w:tc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p>
            <w:pPr>
              <w:pStyle w:val="Compact"/>
              <w:jc w:val="left"/>
            </w:pPr>
            <w:r>
              <w:t xml:space="preserve">Aplicar desconto manual</w:t>
            </w:r>
          </w:p>
        </w:tc>
        <w:tc>
          <w:p>
            <w:pPr>
              <w:pStyle w:val="Compact"/>
              <w:jc w:val="left"/>
            </w:pPr>
            <w:r>
              <w:t xml:space="preserve">Total recalculado e auditoria de DESCONTO gerada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CT09</w:t>
            </w:r>
          </w:p>
        </w:tc>
        <w:tc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p>
            <w:pPr>
              <w:pStyle w:val="Compact"/>
              <w:jc w:val="left"/>
            </w:pPr>
            <w:r>
              <w:t xml:space="preserve">Pedir produto fora do cardápio da unidade</w:t>
            </w:r>
          </w:p>
        </w:tc>
        <w:tc>
          <w:p>
            <w:pPr>
              <w:pStyle w:val="Compact"/>
              <w:jc w:val="left"/>
            </w:pPr>
            <w:r>
              <w:t xml:space="preserve">Erro 422 de negócio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CT10</w:t>
            </w:r>
          </w:p>
        </w:tc>
        <w:tc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p>
            <w:pPr>
              <w:pStyle w:val="Compact"/>
              <w:jc w:val="left"/>
            </w:pPr>
            <w:r>
              <w:t xml:space="preserve">Pedir quantidade acima do estoque</w:t>
            </w:r>
          </w:p>
        </w:tc>
        <w:tc>
          <w:p>
            <w:pPr>
              <w:pStyle w:val="Compact"/>
              <w:jc w:val="left"/>
            </w:pPr>
            <w:r>
              <w:t xml:space="preserve">Erro 422</w:t>
            </w:r>
            <w:r>
              <w:t xml:space="preserve"> </w:t>
            </w:r>
            <w:r>
              <w:t xml:space="preserve">“</w:t>
            </w:r>
            <w:r>
              <w:t xml:space="preserve">Estoque insuficiente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CT11</w:t>
            </w:r>
          </w:p>
        </w:tc>
        <w:tc>
          <w:p>
            <w:pPr>
              <w:pStyle w:val="Compact"/>
              <w:jc w:val="left"/>
            </w:pPr>
            <w:r>
              <w:t xml:space="preserve">RF14/RF11</w:t>
            </w:r>
          </w:p>
        </w:tc>
        <w:tc>
          <w:p>
            <w:pPr>
              <w:pStyle w:val="Compact"/>
              <w:jc w:val="left"/>
            </w:pPr>
            <w:r>
              <w:t xml:space="preserve">Registrar consentimento explícito</w:t>
            </w:r>
          </w:p>
        </w:tc>
        <w:tc>
          <w:p>
            <w:pPr>
              <w:pStyle w:val="Compact"/>
              <w:jc w:val="left"/>
            </w:pPr>
            <w:r>
              <w:t xml:space="preserve">Consentimento com data/hora e conta de fidelidade criada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CT12</w:t>
            </w:r>
          </w:p>
        </w:tc>
        <w:tc>
          <w:p>
            <w:pPr>
              <w:pStyle w:val="Compact"/>
              <w:jc w:val="left"/>
            </w:pPr>
            <w:r>
              <w:t xml:space="preserve">RF16</w:t>
            </w:r>
          </w:p>
        </w:tc>
        <w:tc>
          <w:p>
            <w:pPr>
              <w:pStyle w:val="Compact"/>
              <w:jc w:val="left"/>
            </w:pPr>
            <w:r>
              <w:t xml:space="preserve">Consultar dados pessoais de um cliente</w:t>
            </w:r>
          </w:p>
        </w:tc>
        <w:tc>
          <w:p>
            <w:pPr>
              <w:pStyle w:val="Compact"/>
              <w:jc w:val="left"/>
            </w:pPr>
            <w:r>
              <w:t xml:space="preserve">Registro de auditoria</w:t>
            </w:r>
            <w:r>
              <w:t xml:space="preserve"> </w:t>
            </w:r>
            <w:r>
              <w:rPr>
                <w:rStyle w:val="VerbatimChar"/>
              </w:rPr>
              <w:t xml:space="preserve">ACESSO_DADOS_PESSOAIS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CT13</w:t>
            </w:r>
          </w:p>
        </w:tc>
        <w:tc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p>
            <w:pPr>
              <w:pStyle w:val="Compact"/>
              <w:jc w:val="left"/>
            </w:pPr>
            <w:r>
              <w:t xml:space="preserve">Anonimizar cliente</w:t>
            </w:r>
          </w:p>
        </w:tc>
        <w:tc>
          <w:p>
            <w:pPr>
              <w:pStyle w:val="Compact"/>
              <w:jc w:val="left"/>
            </w:pPr>
            <w:r>
              <w:t xml:space="preserve">Nome/e-mail/data de nascimento apagados definitivamente; auditoria</w:t>
            </w:r>
            <w:r>
              <w:t xml:space="preserve"> </w:t>
            </w:r>
            <w:r>
              <w:rPr>
                <w:rStyle w:val="VerbatimChar"/>
              </w:rPr>
              <w:t xml:space="preserve">ANONIMIZACAO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CT14</w:t>
            </w:r>
          </w:p>
        </w:tc>
        <w:tc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p>
            <w:pPr>
              <w:pStyle w:val="Compact"/>
              <w:jc w:val="left"/>
            </w:pPr>
            <w:r>
              <w:t xml:space="preserve">Avançar status do pedido pago</w:t>
            </w:r>
          </w:p>
        </w:tc>
        <w:tc>
          <w:p>
            <w:pPr>
              <w:pStyle w:val="Compact"/>
              <w:jc w:val="left"/>
            </w:pPr>
            <w:r>
              <w:t xml:space="preserve">PAGO → EM_PREPARO → PRONTO → ENTREGUE; transições inválidas retornam 422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CT15</w:t>
            </w:r>
          </w:p>
        </w:tc>
        <w:tc>
          <w:p>
            <w:pPr>
              <w:pStyle w:val="Compact"/>
              <w:jc w:val="left"/>
            </w:pPr>
            <w:r>
              <w:t xml:space="preserve">RF08/RF09/RF10/RF20</w:t>
            </w:r>
          </w:p>
        </w:tc>
        <w:tc>
          <w:p>
            <w:pPr>
              <w:pStyle w:val="Compact"/>
              <w:jc w:val="left"/>
            </w:pPr>
            <w:r>
              <w:t xml:space="preserve">Consultar relatórios após pedidos confirmados</w:t>
            </w:r>
          </w:p>
        </w:tc>
        <w:tc>
          <w:p>
            <w:pPr>
              <w:pStyle w:val="Compact"/>
              <w:jc w:val="left"/>
            </w:pPr>
            <w:r>
              <w:t xml:space="preserve">Vendas por unidade/região, ranking de produtos e indicador meta × realizado coerentes</w:t>
            </w:r>
          </w:p>
        </w:tc>
      </w:tr>
    </w:tbl>
    <w:p>
      <w:pPr>
        <w:pStyle w:val="BodyText"/>
      </w:pPr>
      <w:r>
        <w:t xml:space="preserve">Os casos CT01 a CT13 são automatizados (classes</w:t>
      </w:r>
      <w:r>
        <w:t xml:space="preserve"> </w:t>
      </w:r>
      <w:r>
        <w:rPr>
          <w:rStyle w:val="VerbatimChar"/>
        </w:rPr>
        <w:t xml:space="preserve">FluxoPedidoTest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LgpdECardapioTest</w:t>
      </w:r>
      <w:r>
        <w:t xml:space="preserve">,</w:t>
      </w:r>
      <w:r>
        <w:t xml:space="preserve"> </w:t>
      </w:r>
      <w:r>
        <w:t xml:space="preserve">executadas com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); CT14 e CT15 são manuais, executados pelo Swagger UI.</w:t>
      </w:r>
    </w:p>
    <w:p>
      <w:pPr>
        <w:pStyle w:val="BodyText"/>
      </w:pPr>
      <w:r>
        <w:t xml:space="preserve">Os casos CT01–CT05, CT07, CT08 e CT11–CT15 são</w:t>
      </w:r>
      <w:r>
        <w:t xml:space="preserve"> </w:t>
      </w:r>
      <w:r>
        <w:rPr>
          <w:b/>
        </w:rPr>
        <w:t xml:space="preserve">positivos</w:t>
      </w:r>
      <w:r>
        <w:t xml:space="preserve"> </w:t>
      </w:r>
      <w:r>
        <w:t xml:space="preserve">(comportamento esperado) e</w:t>
      </w:r>
      <w:r>
        <w:t xml:space="preserve"> </w:t>
      </w:r>
      <w:r>
        <w:t xml:space="preserve">CT06, CT09 e CT10 são</w:t>
      </w:r>
      <w:r>
        <w:t xml:space="preserve"> </w:t>
      </w:r>
      <w:r>
        <w:rPr>
          <w:b/>
        </w:rPr>
        <w:t xml:space="preserve">negativos</w:t>
      </w:r>
      <w:r>
        <w:t xml:space="preserve"> </w:t>
      </w:r>
      <w:r>
        <w:t xml:space="preserve">(erros e recusas tratados corretamente).</w:t>
      </w:r>
    </w:p>
    <w:p>
      <w:pPr>
        <w:pStyle w:val="Heading2"/>
      </w:pPr>
      <w:bookmarkStart w:id="63" w:name="Xdfac226d23eb619eb2485703fbb730fcd97c953"/>
      <w:r>
        <w:t xml:space="preserve">Exemplos detalhados (entrada, passos e saída esperada)</w:t>
      </w:r>
      <w:bookmarkEnd w:id="63"/>
    </w:p>
    <w:p>
      <w:pPr>
        <w:pStyle w:val="FirstParagraph"/>
      </w:pPr>
      <w:r>
        <w:rPr>
          <w:b/>
        </w:rPr>
        <w:t xml:space="preserve">CT04 — positivo (confirmação de pagamento)</w:t>
      </w:r>
    </w:p>
    <w:p>
      <w:pPr>
        <w:numPr>
          <w:ilvl w:val="0"/>
          <w:numId w:val="1010"/>
        </w:numPr>
        <w:pStyle w:val="Compact"/>
      </w:pPr>
      <w:r>
        <w:t xml:space="preserve">Entrada: pedido nº 1 em</w:t>
      </w:r>
      <w:r>
        <w:t xml:space="preserve"> </w:t>
      </w:r>
      <w:r>
        <w:rPr>
          <w:rStyle w:val="VerbatimChar"/>
        </w:rPr>
        <w:t xml:space="preserve">AGUARDANDO_PAGAMENTO</w:t>
      </w:r>
      <w:r>
        <w:t xml:space="preserve">; corpo</w:t>
      </w:r>
      <w:r>
        <w:t xml:space="preserve"> </w:t>
      </w:r>
      <w:r>
        <w:rPr>
          <w:rStyle w:val="VerbatimChar"/>
        </w:rPr>
        <w:t xml:space="preserve">{"referenciaExterna":"EXT-abc","status":"CONFIRMADO"}</w:t>
      </w:r>
    </w:p>
    <w:p>
      <w:pPr>
        <w:numPr>
          <w:ilvl w:val="0"/>
          <w:numId w:val="1010"/>
        </w:numPr>
        <w:pStyle w:val="Compact"/>
      </w:pPr>
      <w:r>
        <w:t xml:space="preserve">Passos: enviar</w:t>
      </w:r>
      <w:r>
        <w:t xml:space="preserve"> </w:t>
      </w:r>
      <w:r>
        <w:rPr>
          <w:rStyle w:val="VerbatimChar"/>
        </w:rPr>
        <w:t xml:space="preserve">POST /api/pagamentos/1/resultado</w:t>
      </w:r>
      <w:r>
        <w:t xml:space="preserve">; consultar</w:t>
      </w:r>
      <w:r>
        <w:t xml:space="preserve"> </w:t>
      </w:r>
      <w:r>
        <w:rPr>
          <w:rStyle w:val="VerbatimChar"/>
        </w:rPr>
        <w:t xml:space="preserve">GET /api/pedidos/1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 /api/unidades/1/estoque</w:t>
      </w:r>
    </w:p>
    <w:p>
      <w:pPr>
        <w:numPr>
          <w:ilvl w:val="0"/>
          <w:numId w:val="1010"/>
        </w:numPr>
        <w:pStyle w:val="Compact"/>
      </w:pPr>
      <w:r>
        <w:t xml:space="preserve">Saída esperada: pedido</w:t>
      </w:r>
      <w:r>
        <w:t xml:space="preserve"> </w:t>
      </w:r>
      <w:r>
        <w:rPr>
          <w:rStyle w:val="VerbatimChar"/>
        </w:rPr>
        <w:t xml:space="preserve">PAGO</w:t>
      </w:r>
      <w:r>
        <w:t xml:space="preserve">, estoque dos itens baixado, pontos do cliente acumulados</w:t>
      </w:r>
    </w:p>
    <w:p>
      <w:pPr>
        <w:pStyle w:val="FirstParagraph"/>
      </w:pPr>
      <w:r>
        <w:rPr>
          <w:b/>
        </w:rPr>
        <w:t xml:space="preserve">CT09 — negativo (produto fora do cardápio)</w:t>
      </w:r>
    </w:p>
    <w:p>
      <w:pPr>
        <w:numPr>
          <w:ilvl w:val="0"/>
          <w:numId w:val="1011"/>
        </w:numPr>
        <w:pStyle w:val="Compact"/>
      </w:pPr>
      <w:r>
        <w:t xml:space="preserve">Entrada: pedido na unidade 2 (SP) contendo produto exclusivo de Recife</w:t>
      </w:r>
    </w:p>
    <w:p>
      <w:pPr>
        <w:numPr>
          <w:ilvl w:val="0"/>
          <w:numId w:val="1011"/>
        </w:numPr>
        <w:pStyle w:val="Compact"/>
      </w:pPr>
      <w:r>
        <w:t xml:space="preserve">Passos: enviar</w:t>
      </w:r>
      <w:r>
        <w:t xml:space="preserve"> </w:t>
      </w:r>
      <w:r>
        <w:rPr>
          <w:rStyle w:val="VerbatimChar"/>
        </w:rPr>
        <w:t xml:space="preserve">POST /api/pedidos</w:t>
      </w:r>
      <w:r>
        <w:t xml:space="preserve"> </w:t>
      </w:r>
      <w:r>
        <w:t xml:space="preserve">com o item inválido</w:t>
      </w:r>
    </w:p>
    <w:p>
      <w:pPr>
        <w:numPr>
          <w:ilvl w:val="0"/>
          <w:numId w:val="1011"/>
        </w:numPr>
        <w:pStyle w:val="Compact"/>
      </w:pPr>
      <w:r>
        <w:t xml:space="preserve">Saída esperada: HTTP 422 com mensagem de negócio; nenhum pedido criado</w:t>
      </w:r>
    </w:p>
    <w:p>
      <w:pPr>
        <w:pStyle w:val="FirstParagraph"/>
      </w:pPr>
      <w:r>
        <w:rPr>
          <w:b/>
        </w:rPr>
        <w:t xml:space="preserve">CT10 — negativo (estoque insuficiente)</w:t>
      </w:r>
    </w:p>
    <w:p>
      <w:pPr>
        <w:numPr>
          <w:ilvl w:val="0"/>
          <w:numId w:val="1012"/>
        </w:numPr>
        <w:pStyle w:val="Compact"/>
      </w:pPr>
      <w:r>
        <w:t xml:space="preserve">Entrada: pedido com quantidade maior que o estoque da unidade</w:t>
      </w:r>
    </w:p>
    <w:p>
      <w:pPr>
        <w:numPr>
          <w:ilvl w:val="0"/>
          <w:numId w:val="1012"/>
        </w:numPr>
        <w:pStyle w:val="Compact"/>
      </w:pPr>
      <w:r>
        <w:t xml:space="preserve">Passos: enviar</w:t>
      </w:r>
      <w:r>
        <w:t xml:space="preserve"> </w:t>
      </w:r>
      <w:r>
        <w:rPr>
          <w:rStyle w:val="VerbatimChar"/>
        </w:rPr>
        <w:t xml:space="preserve">POST /api/pedidos</w:t>
      </w:r>
    </w:p>
    <w:p>
      <w:pPr>
        <w:numPr>
          <w:ilvl w:val="0"/>
          <w:numId w:val="1012"/>
        </w:numPr>
        <w:pStyle w:val="Compact"/>
      </w:pPr>
      <w:r>
        <w:t xml:space="preserve">Saída esperada: HTTP 422</w:t>
      </w:r>
      <w:r>
        <w:t xml:space="preserve"> </w:t>
      </w:r>
      <w:r>
        <w:t xml:space="preserve">“</w:t>
      </w:r>
      <w:r>
        <w:t xml:space="preserve">Estoque insuficiente</w:t>
      </w:r>
      <w:r>
        <w:t xml:space="preserve">”</w:t>
      </w:r>
      <w:r>
        <w:t xml:space="preserve">; estoque inalterado</w:t>
      </w:r>
    </w:p>
    <w:p>
      <w:pPr>
        <w:pStyle w:val="Heading2"/>
      </w:pPr>
      <w:bookmarkStart w:id="64" w:name="critérios-de-aceite"/>
      <w:r>
        <w:t xml:space="preserve">Critérios de aceite</w:t>
      </w:r>
      <w:bookmarkEnd w:id="64"/>
    </w:p>
    <w:p>
      <w:pPr>
        <w:numPr>
          <w:ilvl w:val="0"/>
          <w:numId w:val="1013"/>
        </w:numPr>
        <w:pStyle w:val="Compact"/>
      </w:pPr>
      <w:r>
        <w:t xml:space="preserve">100% dos testes automatizados passando (</w:t>
      </w:r>
      <w:r>
        <w:rPr>
          <w:rStyle w:val="VerbatimChar"/>
        </w:rPr>
        <w:t xml:space="preserve">mvn test</w:t>
      </w:r>
      <w:r>
        <w:t xml:space="preserve">);</w:t>
      </w:r>
    </w:p>
    <w:p>
      <w:pPr>
        <w:numPr>
          <w:ilvl w:val="0"/>
          <w:numId w:val="1013"/>
        </w:numPr>
        <w:pStyle w:val="Compact"/>
      </w:pPr>
      <w:r>
        <w:t xml:space="preserve">casos manuais CT14–CT15 executados via Swagger com evidências;</w:t>
      </w:r>
    </w:p>
    <w:p>
      <w:pPr>
        <w:numPr>
          <w:ilvl w:val="0"/>
          <w:numId w:val="1013"/>
        </w:numPr>
        <w:pStyle w:val="Compact"/>
      </w:pPr>
      <w:r>
        <w:t xml:space="preserve">nenhuma operação sensível (cancelamento, desconto, ajuste, acesso a dados pessoais,</w:t>
      </w:r>
      <w:r>
        <w:t xml:space="preserve"> </w:t>
      </w:r>
      <w:r>
        <w:t xml:space="preserve">anonimização) sem registro correspondente na trilha de auditoria.</w:t>
      </w:r>
    </w:p>
    <w:p>
      <w:pPr>
        <w:pStyle w:val="Heading1"/>
      </w:pPr>
      <w:bookmarkStart w:id="65" w:name="conclusão"/>
      <w:r>
        <w:t xml:space="preserve">6. Conclusão</w:t>
      </w:r>
      <w:bookmarkEnd w:id="65"/>
    </w:p>
    <w:p>
      <w:pPr>
        <w:pStyle w:val="FirstParagraph"/>
      </w:pPr>
      <w:r>
        <w:t xml:space="preserve">O desenvolvimento deste projeto permitiu aplicar, de forma integrada, os conceitos de</w:t>
      </w:r>
      <w:r>
        <w:t xml:space="preserve"> </w:t>
      </w:r>
      <w:r>
        <w:t xml:space="preserve">Engenharia de Software estudados ao longo do curso: levantamento e análise de requisitos a</w:t>
      </w:r>
      <w:r>
        <w:t xml:space="preserve"> </w:t>
      </w:r>
      <w:r>
        <w:t xml:space="preserve">partir de um cenário com ambiguidades, modelagem UML e de dados, definição de arquitetura</w:t>
      </w:r>
      <w:r>
        <w:t xml:space="preserve"> </w:t>
      </w:r>
      <w:r>
        <w:t xml:space="preserve">e implementação de uma API REST funcional com testes automatizados.</w:t>
      </w:r>
    </w:p>
    <w:p>
      <w:pPr>
        <w:pStyle w:val="Heading2"/>
      </w:pPr>
      <w:bookmarkStart w:id="66" w:name="principais-lições-aprendidas"/>
      <w:r>
        <w:t xml:space="preserve">Principais lições aprendidas</w:t>
      </w:r>
      <w:bookmarkEnd w:id="66"/>
    </w:p>
    <w:p>
      <w:pPr>
        <w:numPr>
          <w:ilvl w:val="0"/>
          <w:numId w:val="1014"/>
        </w:numPr>
        <w:pStyle w:val="Compact"/>
      </w:pPr>
      <w:r>
        <w:t xml:space="preserve">Ler o problema antes de codificar: as decisões mais importantes (ciclo do pedido,</w:t>
      </w:r>
      <w:r>
        <w:t xml:space="preserve"> </w:t>
      </w:r>
      <w:r>
        <w:t xml:space="preserve">cardápio por unidade, pagamento externo) vieram da interpretação do estudo de caso, não</w:t>
      </w:r>
      <w:r>
        <w:t xml:space="preserve"> </w:t>
      </w:r>
      <w:r>
        <w:t xml:space="preserve">da tecnologia;</w:t>
      </w:r>
    </w:p>
    <w:p>
      <w:pPr>
        <w:numPr>
          <w:ilvl w:val="0"/>
          <w:numId w:val="1014"/>
        </w:numPr>
        <w:pStyle w:val="Compact"/>
      </w:pPr>
      <w:r>
        <w:t xml:space="preserve">Delimitar o escopo é tão importante quanto implementar: funcionalidades sem respaldo no</w:t>
      </w:r>
      <w:r>
        <w:t xml:space="preserve"> </w:t>
      </w:r>
      <w:r>
        <w:t xml:space="preserve">estudo de caso (delivery, processamento de cartão, RH) foram deliberadamente excluídas;</w:t>
      </w:r>
    </w:p>
    <w:p>
      <w:pPr>
        <w:numPr>
          <w:ilvl w:val="0"/>
          <w:numId w:val="1014"/>
        </w:numPr>
        <w:pStyle w:val="Compact"/>
      </w:pPr>
      <w:r>
        <w:t xml:space="preserve">Integrações externas exigem cuidado com falhas: foi preciso garantir que, se o serviço</w:t>
      </w:r>
      <w:r>
        <w:t xml:space="preserve"> </w:t>
      </w:r>
      <w:r>
        <w:t xml:space="preserve">de pagamento enviar o mesmo resultado duas vezes, o sistema não baixe o estoque nem some</w:t>
      </w:r>
      <w:r>
        <w:t xml:space="preserve"> </w:t>
      </w:r>
      <w:r>
        <w:t xml:space="preserve">pontos em dobro.</w:t>
      </w:r>
    </w:p>
    <w:p>
      <w:pPr>
        <w:pStyle w:val="Heading2"/>
      </w:pPr>
      <w:bookmarkStart w:id="67" w:name="desafios"/>
      <w:r>
        <w:t xml:space="preserve">Desafios</w:t>
      </w:r>
      <w:bookmarkEnd w:id="67"/>
    </w:p>
    <w:p>
      <w:pPr>
        <w:numPr>
          <w:ilvl w:val="0"/>
          <w:numId w:val="1015"/>
        </w:numPr>
        <w:pStyle w:val="Compact"/>
      </w:pPr>
      <w:r>
        <w:t xml:space="preserve">Traduzir requisitos implícitos (alta disponibilidade, LGPD) em decisões concretas de</w:t>
      </w:r>
      <w:r>
        <w:t xml:space="preserve"> </w:t>
      </w:r>
      <w:r>
        <w:t xml:space="preserve">projeto e código;</w:t>
      </w:r>
    </w:p>
    <w:p>
      <w:pPr>
        <w:numPr>
          <w:ilvl w:val="0"/>
          <w:numId w:val="1015"/>
        </w:numPr>
        <w:pStyle w:val="Compact"/>
      </w:pPr>
      <w:r>
        <w:t xml:space="preserve">Equilibrar a padronização da franquia com as variações por unidade (cardápio,</w:t>
      </w:r>
      <w:r>
        <w:t xml:space="preserve"> </w:t>
      </w:r>
      <w:r>
        <w:t xml:space="preserve">sazonalidade, receitas regionais).</w:t>
      </w:r>
    </w:p>
    <w:p>
      <w:pPr>
        <w:pStyle w:val="Heading2"/>
      </w:pPr>
      <w:bookmarkStart w:id="68" w:name="pontos-de-atenção-para-evoluções-futuras"/>
      <w:r>
        <w:t xml:space="preserve">Pontos de atenção para evoluções futuras</w:t>
      </w:r>
      <w:bookmarkEnd w:id="68"/>
    </w:p>
    <w:p>
      <w:pPr>
        <w:numPr>
          <w:ilvl w:val="0"/>
          <w:numId w:val="1016"/>
        </w:numPr>
        <w:pStyle w:val="Compact"/>
      </w:pPr>
      <w:r>
        <w:t xml:space="preserve">Migrar o banco H2 (usado para demonstração) para PostgreSQL em produção;</w:t>
      </w:r>
    </w:p>
    <w:p>
      <w:pPr>
        <w:numPr>
          <w:ilvl w:val="0"/>
          <w:numId w:val="1016"/>
        </w:numPr>
        <w:pStyle w:val="Compact"/>
      </w:pPr>
      <w:r>
        <w:t xml:space="preserve">Adicionar autenticação/autorização por perfil (cliente, atendente, gerente, matriz);</w:t>
      </w:r>
    </w:p>
    <w:p>
      <w:pPr>
        <w:numPr>
          <w:ilvl w:val="0"/>
          <w:numId w:val="1016"/>
        </w:numPr>
        <w:pStyle w:val="Compact"/>
      </w:pPr>
      <w:r>
        <w:t xml:space="preserve">Integrar um gateway de pagamento real no lugar do simulado;</w:t>
      </w:r>
    </w:p>
    <w:p>
      <w:pPr>
        <w:numPr>
          <w:ilvl w:val="0"/>
          <w:numId w:val="1016"/>
        </w:numPr>
        <w:pStyle w:val="Compact"/>
      </w:pPr>
      <w:r>
        <w:t xml:space="preserve">Evoluir os relatórios da matriz com filtros por período e exportação.</w:t>
      </w:r>
    </w:p>
    <w:p>
      <w:pPr>
        <w:pStyle w:val="Heading1"/>
      </w:pPr>
      <w:bookmarkStart w:id="69" w:name="referências"/>
      <w:r>
        <w:t xml:space="preserve">7. Referências</w:t>
      </w:r>
      <w:bookmarkEnd w:id="69"/>
    </w:p>
    <w:p>
      <w:pPr>
        <w:numPr>
          <w:ilvl w:val="0"/>
          <w:numId w:val="1017"/>
        </w:numPr>
        <w:pStyle w:val="Compact"/>
      </w:pPr>
      <w:r>
        <w:t xml:space="preserve">Estudo de caso</w:t>
      </w:r>
      <w:r>
        <w:t xml:space="preserve"> </w:t>
      </w:r>
      <w:r>
        <w:t xml:space="preserve">“</w:t>
      </w:r>
      <w:r>
        <w:t xml:space="preserve">Rede Raízes do Nordeste — Tecnologia, Tradição e Escala</w:t>
      </w:r>
      <w:r>
        <w:t xml:space="preserve">”</w:t>
      </w:r>
      <w:r>
        <w:t xml:space="preserve">, disciplina</w:t>
      </w:r>
      <w:r>
        <w:t xml:space="preserve"> </w:t>
      </w:r>
      <w:r>
        <w:t xml:space="preserve">Projeto Multidisciplinar (roteiro oficial da atividade).</w:t>
      </w:r>
    </w:p>
    <w:p>
      <w:pPr>
        <w:numPr>
          <w:ilvl w:val="0"/>
          <w:numId w:val="1017"/>
        </w:numPr>
        <w:pStyle w:val="Compact"/>
      </w:pPr>
      <w:r>
        <w:t xml:space="preserve">SOMMERVILLE, Ian.</w:t>
      </w:r>
      <w:r>
        <w:t xml:space="preserve"> </w:t>
      </w:r>
      <w:r>
        <w:rPr>
          <w:b/>
        </w:rPr>
        <w:t xml:space="preserve">Engenharia de Software</w:t>
      </w:r>
      <w:r>
        <w:t xml:space="preserve">. 10. ed. São Paulo: Pearson, 2018.</w:t>
      </w:r>
    </w:p>
    <w:p>
      <w:pPr>
        <w:numPr>
          <w:ilvl w:val="0"/>
          <w:numId w:val="1017"/>
        </w:numPr>
        <w:pStyle w:val="Compact"/>
      </w:pPr>
      <w:r>
        <w:t xml:space="preserve">Documentação oficial do Spring Boot. Disponível em: https://spring.io/projects/spring-boot</w:t>
      </w:r>
    </w:p>
    <w:p>
      <w:pPr>
        <w:numPr>
          <w:ilvl w:val="0"/>
          <w:numId w:val="1017"/>
        </w:numPr>
        <w:pStyle w:val="Compact"/>
      </w:pPr>
      <w:r>
        <w:t xml:space="preserve">Documentação oficial do Spring Data JPA. Disponível em: https://spring.io/projects/spring-data-jpa</w:t>
      </w:r>
    </w:p>
    <w:p>
      <w:pPr>
        <w:numPr>
          <w:ilvl w:val="0"/>
          <w:numId w:val="1017"/>
        </w:numPr>
        <w:pStyle w:val="Compact"/>
      </w:pPr>
      <w:r>
        <w:t xml:space="preserve">Especificação OpenAPI / Springdoc. Disponível em: https://springdoc.org</w:t>
      </w:r>
    </w:p>
    <w:p>
      <w:pPr>
        <w:numPr>
          <w:ilvl w:val="0"/>
          <w:numId w:val="1017"/>
        </w:numPr>
        <w:pStyle w:val="Compact"/>
      </w:pPr>
      <w:r>
        <w:t xml:space="preserve">PlantUML — ferramenta de diagramação. Disponível em: https://plantuml.com</w:t>
      </w:r>
    </w:p>
    <w:p>
      <w:pPr>
        <w:numPr>
          <w:ilvl w:val="0"/>
          <w:numId w:val="1017"/>
        </w:numPr>
        <w:pStyle w:val="Compact"/>
      </w:pPr>
      <w:r>
        <w:t xml:space="preserve">BRASIL. Lei nº 13.709/2018 (Lei Geral de Proteção de Dados Pessoais — LGPD).</w:t>
      </w:r>
      <w:r>
        <w:t xml:space="preserve"> </w:t>
      </w:r>
      <w:r>
        <w:t xml:space="preserve">Disponível em: https://www.planalto.gov.br/ccivil_03/_ato2015-2018/2018/lei/l13709.htm</w:t>
      </w:r>
    </w:p>
    <w:p>
      <w:pPr>
        <w:pStyle w:val="Heading1"/>
      </w:pPr>
      <w:bookmarkStart w:id="70" w:name="anexos-evidências-de-execução"/>
      <w:r>
        <w:t xml:space="preserve">Anexos — Evidências de Execução</w:t>
      </w:r>
      <w:bookmarkEnd w:id="70"/>
    </w:p>
    <w:p>
      <w:pPr>
        <w:pStyle w:val="Heading2"/>
      </w:pPr>
      <w:bookmarkStart w:id="71" w:name="testes-automatizados-mvn-test"/>
      <w:r>
        <w:t xml:space="preserve">Testes automatizados (mvn test)</w:t>
      </w:r>
      <w:bookmarkEnd w:id="71"/>
    </w:p>
    <w:p>
      <w:pPr>
        <w:pStyle w:val="FirstParagraph"/>
      </w:pPr>
      <w:r>
        <w:t xml:space="preserve">Execução dos 12 testes automatizados do projeto, todos passando:</w:t>
      </w:r>
    </w:p>
    <w:p>
      <w:pPr>
        <w:pStyle w:val="CaptionedFigure"/>
      </w:pPr>
      <w:r>
        <w:drawing>
          <wp:inline>
            <wp:extent cx="5334000" cy="3680046"/>
            <wp:effectExtent b="0" l="0" r="0" t="0"/>
            <wp:docPr descr="Resultado do mvn test" title="" id="1" name="Picture"/>
            <a:graphic>
              <a:graphicData uri="http://schemas.openxmlformats.org/drawingml/2006/picture">
                <pic:pic>
                  <pic:nvPicPr>
                    <pic:cNvPr descr="evidencias/testes-mv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Resultado do mvn test</w:t>
      </w:r>
    </w:p>
    <w:p>
      <w:pPr>
        <w:pStyle w:val="Heading2"/>
      </w:pPr>
      <w:bookmarkStart w:id="73" w:name="swagger-ui"/>
      <w:r>
        <w:t xml:space="preserve">Swagger UI</w:t>
      </w:r>
      <w:bookmarkEnd w:id="73"/>
    </w:p>
    <w:p>
      <w:pPr>
        <w:pStyle w:val="FirstParagraph"/>
      </w:pPr>
      <w:r>
        <w:t xml:space="preserve">API em execução local (</w:t>
      </w:r>
      <w:r>
        <w:rPr>
          <w:rStyle w:val="VerbatimChar"/>
        </w:rPr>
        <w:t xml:space="preserve">mvn spring-boot:run</w:t>
      </w:r>
      <w:r>
        <w:t xml:space="preserve">), com a documentação interativa disponível em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wagger UI" title="" id="1" name="Picture"/>
            <a:graphic>
              <a:graphicData uri="http://schemas.openxmlformats.org/drawingml/2006/picture">
                <pic:pic>
                  <pic:nvPicPr>
                    <pic:cNvPr descr="evidencias/swagg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</w:t>
      </w:r>
    </w:p>
    <w:p>
      <w:pPr>
        <w:pStyle w:val="Heading2"/>
      </w:pPr>
      <w:bookmarkStart w:id="75" w:name="exemplo-de-requisição"/>
      <w:r>
        <w:t xml:space="preserve">Exemplo de requisição</w:t>
      </w:r>
      <w:bookmarkEnd w:id="75"/>
    </w:p>
    <w:p>
      <w:pPr>
        <w:pStyle w:val="FirstParagraph"/>
      </w:pPr>
      <w:r>
        <w:t xml:space="preserve">Consulta do cardápio da unidade 1 no navegador (</w:t>
      </w:r>
      <w:r>
        <w:rPr>
          <w:rStyle w:val="VerbatimChar"/>
        </w:rPr>
        <w:t xml:space="preserve">GET /api/unidades/1/cardapio</w:t>
      </w:r>
      <w:r>
        <w:t xml:space="preserve">), retornando</w:t>
      </w:r>
      <w:r>
        <w:t xml:space="preserve"> </w:t>
      </w:r>
      <w:r>
        <w:t xml:space="preserve">os produtos disponíveis na unidade: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ardápio da unidade 1" title="" id="1" name="Picture"/>
            <a:graphic>
              <a:graphicData uri="http://schemas.openxmlformats.org/drawingml/2006/picture">
                <pic:pic>
                  <pic:nvPicPr>
                    <pic:cNvPr descr="evidencias/cardapio-navegad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Cardápio da unidade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36" Target="media/rId36.png" /><Relationship Type="http://schemas.openxmlformats.org/officeDocument/2006/relationships/image" Id="rId76" Target="media/rId76.png" /><Relationship Type="http://schemas.openxmlformats.org/officeDocument/2006/relationships/image" Id="rId74" Target="media/rId74.png" /><Relationship Type="http://schemas.openxmlformats.org/officeDocument/2006/relationships/image" Id="rId72" Target="media/rId7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 “Raízes do Nordeste” — Sistema de Pedidos Multicanal</dc:title>
  <dc:creator>Ramon De Oliveira</dc:creator>
  <dc:language>pt-BR</dc:language>
  <cp:keywords/>
  <dcterms:created xsi:type="dcterms:W3CDTF">2026-08-04T00:24:58Z</dcterms:created>
  <dcterms:modified xsi:type="dcterms:W3CDTF">2026-08-04T00:24:58Z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geometry">
    <vt:lpwstr>margin=2.5cm</vt:lpwstr>
  </property>
  <property fmtid="{D5CDD505-2E9C-101B-9397-08002B2CF9AE}" pid="4" name="header-includes">
    <vt:lpwstr/>
  </property>
  <property fmtid="{D5CDD505-2E9C-101B-9397-08002B2CF9AE}" pid="5" name="subtitle">
    <vt:lpwstr>Projeto Multidisciplinar — Trilha Back-end</vt:lpwstr>
  </property>
</Properties>
</file>