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Instituto Tecnológico y de Estudios Superiores de Monterrey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i w:val="1"/>
          <w:color w:val="434343"/>
          <w:sz w:val="32"/>
          <w:szCs w:val="32"/>
        </w:rPr>
      </w:pPr>
      <w:r w:rsidDel="00000000" w:rsidR="00000000" w:rsidRPr="00000000">
        <w:rPr>
          <w:rFonts w:ascii="Times New Roman" w:cs="Times New Roman" w:eastAsia="Times New Roman" w:hAnsi="Times New Roman"/>
          <w:b w:val="1"/>
          <w:i w:val="1"/>
          <w:color w:val="434343"/>
          <w:sz w:val="32"/>
          <w:szCs w:val="32"/>
          <w:rtl w:val="0"/>
        </w:rPr>
        <w:t xml:space="preserve">Desarrollo e implantación de sistemas de software TC3005B</w:t>
      </w:r>
    </w:p>
    <w:p w:rsidR="00000000" w:rsidDel="00000000" w:rsidP="00000000" w:rsidRDefault="00000000" w:rsidRPr="00000000" w14:paraId="00000005">
      <w:pPr>
        <w:jc w:val="center"/>
        <w:rPr>
          <w:rFonts w:ascii="Times New Roman" w:cs="Times New Roman" w:eastAsia="Times New Roman" w:hAnsi="Times New Roman"/>
          <w:i w:val="1"/>
          <w:color w:val="434343"/>
          <w:sz w:val="32"/>
          <w:szCs w:val="32"/>
        </w:rPr>
      </w:pPr>
      <w:r w:rsidDel="00000000" w:rsidR="00000000" w:rsidRPr="00000000">
        <w:rPr>
          <w:rFonts w:ascii="Times New Roman" w:cs="Times New Roman" w:eastAsia="Times New Roman" w:hAnsi="Times New Roman"/>
          <w:i w:val="1"/>
          <w:color w:val="434343"/>
          <w:sz w:val="32"/>
          <w:szCs w:val="32"/>
          <w:rtl w:val="0"/>
        </w:rPr>
        <w:t xml:space="preserve">Gpo. 106</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60" w:lineRule="auto"/>
        <w:jc w:val="center"/>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Baseline CMDB</w:t>
        <w:br w:type="textWrapping"/>
        <w:br w:type="textWrapping"/>
        <w:t xml:space="preserve"> </w:t>
      </w:r>
    </w:p>
    <w:p w:rsidR="00000000" w:rsidDel="00000000" w:rsidP="00000000" w:rsidRDefault="00000000" w:rsidRPr="00000000" w14:paraId="00000008">
      <w:pPr>
        <w:spacing w:after="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center"/>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color w:val="434343"/>
          <w:sz w:val="32"/>
          <w:szCs w:val="32"/>
          <w:u w:val="single"/>
          <w:rtl w:val="0"/>
        </w:rPr>
        <w:t xml:space="preserve">Nombre de los profesores:</w:t>
        <w:br w:type="textWrapping"/>
      </w:r>
      <w:r w:rsidDel="00000000" w:rsidR="00000000" w:rsidRPr="00000000">
        <w:rPr>
          <w:rFonts w:ascii="Times New Roman" w:cs="Times New Roman" w:eastAsia="Times New Roman" w:hAnsi="Times New Roman"/>
          <w:i w:val="1"/>
          <w:color w:val="434343"/>
          <w:sz w:val="28"/>
          <w:szCs w:val="28"/>
          <w:rtl w:val="0"/>
        </w:rPr>
        <w:t xml:space="preserve">Adan Octavio Ruiz Martinez</w:t>
      </w:r>
    </w:p>
    <w:p w:rsidR="00000000" w:rsidDel="00000000" w:rsidP="00000000" w:rsidRDefault="00000000" w:rsidRPr="00000000" w14:paraId="0000000A">
      <w:pPr>
        <w:jc w:val="center"/>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color w:val="434343"/>
          <w:sz w:val="28"/>
          <w:szCs w:val="28"/>
          <w:rtl w:val="0"/>
        </w:rPr>
        <w:t xml:space="preserve">Jorge Alvarez Bujanos</w:t>
      </w:r>
    </w:p>
    <w:p w:rsidR="00000000" w:rsidDel="00000000" w:rsidP="00000000" w:rsidRDefault="00000000" w:rsidRPr="00000000" w14:paraId="0000000B">
      <w:pPr>
        <w:jc w:val="center"/>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color w:val="434343"/>
          <w:sz w:val="28"/>
          <w:szCs w:val="28"/>
          <w:rtl w:val="0"/>
        </w:rPr>
        <w:t xml:space="preserve">Leonardo S. Gamez Peña</w:t>
      </w:r>
    </w:p>
    <w:p w:rsidR="00000000" w:rsidDel="00000000" w:rsidP="00000000" w:rsidRDefault="00000000" w:rsidRPr="00000000" w14:paraId="0000000C">
      <w:pPr>
        <w:jc w:val="center"/>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color w:val="434343"/>
          <w:sz w:val="28"/>
          <w:szCs w:val="28"/>
          <w:rtl w:val="0"/>
        </w:rPr>
        <w:t xml:space="preserve">Alberto Emmanuel Benavides Contreras</w:t>
      </w:r>
    </w:p>
    <w:p w:rsidR="00000000" w:rsidDel="00000000" w:rsidP="00000000" w:rsidRDefault="00000000" w:rsidRPr="00000000" w14:paraId="0000000D">
      <w:pPr>
        <w:jc w:val="center"/>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color w:val="434343"/>
          <w:sz w:val="28"/>
          <w:szCs w:val="28"/>
          <w:rtl w:val="0"/>
        </w:rPr>
        <w:t xml:space="preserve">Lorena Guadalupe Gómez Martínez</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1">
      <w:pPr>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 </w:t>
        <w:br w:type="textWrapping"/>
      </w:r>
    </w:p>
    <w:p w:rsidR="00000000" w:rsidDel="00000000" w:rsidP="00000000" w:rsidRDefault="00000000" w:rsidRPr="00000000" w14:paraId="00000012">
      <w:pPr>
        <w:jc w:val="center"/>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Integrantes: Equipo 2</w:t>
      </w:r>
    </w:p>
    <w:p w:rsidR="00000000" w:rsidDel="00000000" w:rsidP="00000000" w:rsidRDefault="00000000" w:rsidRPr="00000000" w14:paraId="00000013">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Ángel González Romo | A01235962</w:t>
      </w:r>
    </w:p>
    <w:p w:rsidR="00000000" w:rsidDel="00000000" w:rsidP="00000000" w:rsidRDefault="00000000" w:rsidRPr="00000000" w14:paraId="00000014">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Inzunza Inzunza | A01114528</w:t>
      </w:r>
    </w:p>
    <w:p w:rsidR="00000000" w:rsidDel="00000000" w:rsidP="00000000" w:rsidRDefault="00000000" w:rsidRPr="00000000" w14:paraId="00000015">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Alexeev Bogaychuk | A01740751</w:t>
      </w:r>
    </w:p>
    <w:p w:rsidR="00000000" w:rsidDel="00000000" w:rsidP="00000000" w:rsidRDefault="00000000" w:rsidRPr="00000000" w14:paraId="00000016">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Ramón Esaú Gómez González | A00832787</w:t>
      </w:r>
    </w:p>
    <w:p w:rsidR="00000000" w:rsidDel="00000000" w:rsidP="00000000" w:rsidRDefault="00000000" w:rsidRPr="00000000" w14:paraId="00000017">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Raúl Kenyu Medina Takada | A01236331</w:t>
      </w:r>
    </w:p>
    <w:p w:rsidR="00000000" w:rsidDel="00000000" w:rsidP="00000000" w:rsidRDefault="00000000" w:rsidRPr="00000000" w14:paraId="00000018">
      <w:pPr>
        <w:spacing w:after="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19 de abril de</w:t>
      </w:r>
      <w:r w:rsidDel="00000000" w:rsidR="00000000" w:rsidRPr="00000000">
        <w:rPr>
          <w:rFonts w:ascii="Times New Roman" w:cs="Times New Roman" w:eastAsia="Times New Roman" w:hAnsi="Times New Roman"/>
          <w:sz w:val="28"/>
          <w:szCs w:val="28"/>
          <w:rtl w:val="0"/>
        </w:rPr>
        <w:t xml:space="preserve"> 202</w:t>
      </w:r>
      <w:r w:rsidDel="00000000" w:rsidR="00000000" w:rsidRPr="00000000">
        <w:rPr>
          <w:rFonts w:ascii="Times New Roman" w:cs="Times New Roman" w:eastAsia="Times New Roman" w:hAnsi="Times New Roman"/>
          <w:sz w:val="28"/>
          <w:szCs w:val="28"/>
          <w:rtl w:val="0"/>
        </w:rPr>
        <w:t xml:space="preserve">4           Monterrey, N.L.</w:t>
      </w: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sz w:val="24"/>
          <w:szCs w:val="24"/>
        </w:rPr>
      </w:pPr>
      <w:bookmarkStart w:colFirst="0" w:colLast="0" w:name="_4ymahtctku4s" w:id="0"/>
      <w:bookmarkEnd w:id="0"/>
      <w:r w:rsidDel="00000000" w:rsidR="00000000" w:rsidRPr="00000000">
        <w:rPr>
          <w:rtl w:val="0"/>
        </w:rPr>
        <w:t xml:space="preserve">Configuration Items</w:t>
      </w:r>
      <w:r w:rsidDel="00000000" w:rsidR="00000000" w:rsidRPr="00000000">
        <w:rPr>
          <w:rtl w:val="0"/>
        </w:rPr>
      </w:r>
    </w:p>
    <w:tbl>
      <w:tblPr>
        <w:tblStyle w:val="Table1"/>
        <w:tblpPr w:leftFromText="180" w:rightFromText="180" w:topFromText="180" w:bottomFromText="180" w:vertAnchor="text" w:horzAnchor="text" w:tblpX="-15" w:tblpY="55.25390625"/>
        <w:tblW w:w="13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620"/>
        <w:gridCol w:w="4500"/>
        <w:gridCol w:w="2520"/>
        <w:gridCol w:w="1275"/>
        <w:gridCol w:w="1260"/>
        <w:gridCol w:w="1365"/>
        <w:tblGridChange w:id="0">
          <w:tblGrid>
            <w:gridCol w:w="930"/>
            <w:gridCol w:w="1620"/>
            <w:gridCol w:w="4500"/>
            <w:gridCol w:w="2520"/>
            <w:gridCol w:w="1275"/>
            <w:gridCol w:w="1260"/>
            <w:gridCol w:w="1365"/>
          </w:tblGrid>
        </w:tblGridChange>
      </w:tblGrid>
      <w:tr>
        <w:trPr>
          <w:cantSplit w:val="0"/>
          <w:tblHeader w:val="0"/>
        </w:trPr>
        <w:tc>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w:t>
            </w:r>
          </w:p>
        </w:tc>
      </w:tr>
      <w:tr>
        <w:trPr>
          <w:cantSplit w:val="0"/>
          <w:tblHeader w:val="0"/>
        </w:trPr>
        <w:tc>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CI001</w:t>
            </w:r>
            <w:r w:rsidDel="00000000" w:rsidR="00000000" w:rsidRPr="00000000">
              <w:rPr>
                <w:rtl w:val="0"/>
              </w:rPr>
            </w:r>
          </w:p>
        </w:tc>
        <w:tc>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Cloud Infrastructure</w:t>
            </w:r>
          </w:p>
        </w:tc>
        <w:tc>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de nube ofrecida por Oracle Corporation que proporciona una amplia gama de servicios de infraestructura en la nube para ayudar a las empresas a construir, implementar y administrar sus aplicaciones y cargas de trabajo en la nube de manera segura y eficiente.</w:t>
            </w:r>
          </w:p>
        </w:tc>
        <w:tc>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w:t>
            </w:r>
          </w:p>
        </w:tc>
        <w:tc>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2024</w:t>
            </w:r>
          </w:p>
        </w:tc>
        <w:tc>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w:t>
            </w:r>
          </w:p>
        </w:tc>
        <w:tc>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https://www.oracle.com/mx/cloud/</w:t>
              </w:r>
            </w:hyperlink>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CI002</w:t>
            </w:r>
          </w:p>
        </w:tc>
        <w:tc>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Kubernetes Clusters (OKE)</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servicio gestionado de Kubernetes que simplifica las operaciones de Kubernetes de grado empresarial a escala. Reduce el tiempo, coste y esfuerzo necesarios para gestionar las complejidades de la infraestructura de Kubernetes.</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 Contenedores</w:t>
            </w:r>
          </w:p>
        </w:tc>
        <w:tc>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1.27.10</w:t>
            </w:r>
          </w:p>
        </w:tc>
        <w:tc>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Cloud</w:t>
            </w:r>
          </w:p>
        </w:tc>
      </w:tr>
      <w:tr>
        <w:trPr>
          <w:cantSplit w:val="0"/>
          <w:tblHeader w:val="0"/>
        </w:trPr>
        <w:tc>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CI003</w:t>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Instancias de Docker</w:t>
            </w:r>
          </w:p>
        </w:tc>
        <w:tc>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instancia se refiere a una imagen de Docker que se está ejecutando como un contenedor. En otras palabras, una instancia es una instancia de ejecución individual de una imagen de Docker. Cada instancia tiene su propio entorno aislado con su propio sistema de archivos, interfaz de red y espacio de procesos.</w:t>
            </w:r>
          </w:p>
        </w:tc>
        <w:tc>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Máquinas virtuales</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26.0.1</w:t>
            </w:r>
          </w:p>
        </w:tc>
        <w:tc>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Cloud</w:t>
            </w:r>
          </w:p>
        </w:tc>
      </w:tr>
      <w:tr>
        <w:trPr>
          <w:cantSplit w:val="0"/>
          <w:trHeight w:val="1283.90625" w:hRule="atLeast"/>
          <w:tblHeader w:val="0"/>
        </w:trPr>
        <w:tc>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CI004</w:t>
            </w:r>
          </w:p>
        </w:tc>
        <w:tc>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Autonomous Database</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servicio de base de datos en la nube y autónomo proporcionado por Oracle Corporation. Utiliza inteligencia artificial y aprendizaje automático para automatizar varios aspectos de la gestión de bases de datos. </w:t>
            </w:r>
          </w:p>
        </w:tc>
        <w:tc>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 de almacenamiento </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2024</w:t>
            </w:r>
          </w:p>
        </w:tc>
        <w:tc>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w:t>
            </w:r>
          </w:p>
        </w:tc>
        <w:tc>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Cloud</w:t>
            </w:r>
          </w:p>
        </w:tc>
      </w:tr>
      <w:tr>
        <w:trPr>
          <w:cantSplit w:val="0"/>
          <w:trHeight w:val="1283.90625" w:hRule="atLeast"/>
          <w:tblHeader w:val="0"/>
        </w:trPr>
        <w:tc>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CI005</w:t>
            </w:r>
            <w:r w:rsidDel="00000000" w:rsidR="00000000" w:rsidRPr="00000000">
              <w:rPr>
                <w:rtl w:val="0"/>
              </w:rPr>
            </w:r>
          </w:p>
        </w:tc>
        <w:tc>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Virtual Cloud Network</w:t>
            </w:r>
          </w:p>
        </w:tc>
        <w:tc>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servicio de OCI que permite generar redes de nube personalizables y privadas, proporcionando al cliente un control de la red en la nube</w:t>
            </w:r>
          </w:p>
        </w:tc>
        <w:tc>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Equipos de red</w:t>
            </w:r>
          </w:p>
        </w:tc>
        <w:tc>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2024</w:t>
            </w:r>
          </w:p>
        </w:tc>
        <w:tc>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w:t>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Cloud</w:t>
            </w:r>
          </w:p>
        </w:tc>
      </w:tr>
      <w:tr>
        <w:trPr>
          <w:cantSplit w:val="0"/>
          <w:trHeight w:val="1880.859375" w:hRule="atLeast"/>
          <w:tblHeader w:val="0"/>
        </w:trPr>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CI006</w:t>
            </w:r>
          </w:p>
        </w:tc>
        <w:tc>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Telegram</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de mensajería instantánea y plataforma de comunicación que permite a los usuarios enviar mensajes, archivos multimedia y realizar llamadas de voz y video de forma segura y rápida. </w:t>
            </w:r>
          </w:p>
        </w:tc>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(licencia)</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10.11.1</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w:t>
            </w:r>
          </w:p>
        </w:tc>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https://apps.apple.com/mx/app/telegram-messenger/id686449807</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1283.90625" w:hRule="atLeast"/>
          <w:tblHeader w:val="0"/>
        </w:trPr>
        <w:tc>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CI007</w:t>
            </w:r>
          </w:p>
        </w:tc>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de Github</w:t>
            </w:r>
          </w:p>
        </w:tc>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donde llevamos el control de los cambios y del almacenamiento de todos los archivos de los códigos y de los scripts.</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de almacenamiento</w:t>
            </w:r>
          </w:p>
        </w:tc>
        <w:tc>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https://github.com/RamonGomezG/Oracle-Java-Bot-Eq2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cle.com/mx/cloud/" TargetMode="External"/><Relationship Id="rId7" Type="http://schemas.openxmlformats.org/officeDocument/2006/relationships/hyperlink" Target="https://apps.apple.com/mx/app/telegram-messenger/id686449807" TargetMode="External"/><Relationship Id="rId8" Type="http://schemas.openxmlformats.org/officeDocument/2006/relationships/hyperlink" Target="https://github.com/RamonGomezG/Oracle-Java-Bot-Eq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