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56381" w14:textId="77777777" w:rsidR="006F2521" w:rsidRDefault="006F2521"/>
    <w:p w14:paraId="4CBA0656" w14:textId="77777777" w:rsidR="006F2521" w:rsidRDefault="006F2521"/>
    <w:p w14:paraId="458FCC5B" w14:textId="77777777" w:rsidR="006F2521" w:rsidRDefault="006F2521" w:rsidP="006F2521">
      <w:pPr>
        <w:jc w:val="center"/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proofErr w:type="spellStart"/>
      <w:r w:rsidRPr="000E4C8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Metode</w:t>
      </w:r>
      <w:proofErr w:type="spellEnd"/>
      <w:r w:rsidRPr="000E4C8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de </w:t>
      </w:r>
      <w:proofErr w:type="spellStart"/>
      <w:r w:rsidRPr="000E4C8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analiză</w:t>
      </w:r>
      <w:proofErr w:type="spellEnd"/>
      <w:r w:rsidRPr="000E4C8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a </w:t>
      </w:r>
      <w:proofErr w:type="spellStart"/>
      <w:r w:rsidRPr="000E4C8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riscului</w:t>
      </w:r>
      <w:proofErr w:type="spellEnd"/>
      <w:r w:rsidRPr="000E4C8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E4C8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pentru</w:t>
      </w:r>
      <w:proofErr w:type="spellEnd"/>
      <w:r w:rsidRPr="000E4C8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E4C8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piața</w:t>
      </w:r>
      <w:proofErr w:type="spellEnd"/>
      <w:r w:rsidRPr="000E4C8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E4C8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financiară</w:t>
      </w:r>
      <w:proofErr w:type="spellEnd"/>
      <w:r w:rsidRPr="000E4C8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din Romania</w:t>
      </w:r>
    </w:p>
    <w:p w14:paraId="389F9D18" w14:textId="3FC381F5" w:rsidR="006F2521" w:rsidRDefault="006F2521" w:rsidP="006F2521">
      <w:pPr>
        <w:pStyle w:val="ListParagraph"/>
        <w:numPr>
          <w:ilvl w:val="0"/>
          <w:numId w:val="3"/>
        </w:numPr>
        <w:jc w:val="center"/>
        <w:rPr>
          <w:b/>
        </w:rPr>
      </w:pPr>
      <w:proofErr w:type="spellStart"/>
      <w:r w:rsidRPr="00EC2314">
        <w:rPr>
          <w:b/>
        </w:rPr>
        <w:t>Sectorul</w:t>
      </w:r>
      <w:proofErr w:type="spellEnd"/>
      <w:r w:rsidRPr="00EC2314">
        <w:rPr>
          <w:b/>
        </w:rPr>
        <w:t xml:space="preserve"> energetic </w:t>
      </w:r>
      <w:r>
        <w:rPr>
          <w:b/>
        </w:rPr>
        <w:t>– V</w:t>
      </w:r>
      <w:r>
        <w:rPr>
          <w:b/>
        </w:rPr>
        <w:t>2</w:t>
      </w:r>
    </w:p>
    <w:p w14:paraId="5E5A79FC" w14:textId="77777777" w:rsidR="006F2521" w:rsidRPr="001D3392" w:rsidRDefault="006F2521" w:rsidP="006F2521">
      <w:pPr>
        <w:rPr>
          <w:rFonts w:ascii="Times New Roman" w:hAnsi="Times New Roman" w:cs="Times New Roman"/>
          <w:b/>
          <w:sz w:val="24"/>
        </w:rPr>
      </w:pPr>
      <w:proofErr w:type="spellStart"/>
      <w:r w:rsidRPr="001D3392">
        <w:rPr>
          <w:rFonts w:ascii="Times New Roman" w:hAnsi="Times New Roman" w:cs="Times New Roman"/>
          <w:b/>
          <w:sz w:val="24"/>
        </w:rPr>
        <w:t>Variabile</w:t>
      </w:r>
      <w:proofErr w:type="spellEnd"/>
      <w:r w:rsidRPr="001D339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D3392">
        <w:rPr>
          <w:rFonts w:ascii="Times New Roman" w:hAnsi="Times New Roman" w:cs="Times New Roman"/>
          <w:b/>
          <w:sz w:val="24"/>
        </w:rPr>
        <w:t>macroeconomice</w:t>
      </w:r>
      <w:proofErr w:type="spellEnd"/>
    </w:p>
    <w:p w14:paraId="50069156" w14:textId="77777777" w:rsidR="006F2521" w:rsidRPr="001D3392" w:rsidRDefault="006F2521" w:rsidP="006F25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1D3392">
        <w:rPr>
          <w:rFonts w:ascii="Times New Roman" w:hAnsi="Times New Roman" w:cs="Times New Roman"/>
          <w:sz w:val="24"/>
        </w:rPr>
        <w:t>indicii</w:t>
      </w:r>
      <w:proofErr w:type="spellEnd"/>
      <w:r w:rsidRPr="001D33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392">
        <w:rPr>
          <w:rFonts w:ascii="Times New Roman" w:hAnsi="Times New Roman" w:cs="Times New Roman"/>
          <w:sz w:val="24"/>
        </w:rPr>
        <w:t>majori</w:t>
      </w:r>
      <w:proofErr w:type="spellEnd"/>
      <w:r w:rsidRPr="001D3392">
        <w:rPr>
          <w:rFonts w:ascii="Times New Roman" w:hAnsi="Times New Roman" w:cs="Times New Roman"/>
          <w:sz w:val="24"/>
        </w:rPr>
        <w:t xml:space="preserve"> de la Bursa de </w:t>
      </w:r>
      <w:proofErr w:type="spellStart"/>
      <w:r w:rsidRPr="001D3392">
        <w:rPr>
          <w:rFonts w:ascii="Times New Roman" w:hAnsi="Times New Roman" w:cs="Times New Roman"/>
          <w:sz w:val="24"/>
        </w:rPr>
        <w:t>Valori</w:t>
      </w:r>
      <w:proofErr w:type="spellEnd"/>
      <w:r w:rsidRPr="001D33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392">
        <w:rPr>
          <w:rFonts w:ascii="Times New Roman" w:hAnsi="Times New Roman" w:cs="Times New Roman"/>
          <w:sz w:val="24"/>
        </w:rPr>
        <w:t>București</w:t>
      </w:r>
      <w:proofErr w:type="spellEnd"/>
      <w:r w:rsidRPr="001D3392">
        <w:rPr>
          <w:rFonts w:ascii="Times New Roman" w:hAnsi="Times New Roman" w:cs="Times New Roman"/>
          <w:sz w:val="24"/>
        </w:rPr>
        <w:t xml:space="preserve"> (BET, BET-FI, BET-NG, ROTX), </w:t>
      </w:r>
    </w:p>
    <w:p w14:paraId="27027373" w14:textId="77777777" w:rsidR="006F2521" w:rsidRDefault="006F2521" w:rsidP="006F25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1D3392">
        <w:rPr>
          <w:rFonts w:ascii="Times New Roman" w:hAnsi="Times New Roman" w:cs="Times New Roman"/>
          <w:sz w:val="24"/>
        </w:rPr>
        <w:t>doi</w:t>
      </w:r>
      <w:proofErr w:type="spellEnd"/>
      <w:r w:rsidRPr="001D33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392">
        <w:rPr>
          <w:rFonts w:ascii="Times New Roman" w:hAnsi="Times New Roman" w:cs="Times New Roman"/>
          <w:sz w:val="24"/>
        </w:rPr>
        <w:t>indici</w:t>
      </w:r>
      <w:proofErr w:type="spellEnd"/>
      <w:r w:rsidRPr="001D33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392">
        <w:rPr>
          <w:rFonts w:ascii="Times New Roman" w:hAnsi="Times New Roman" w:cs="Times New Roman"/>
          <w:sz w:val="24"/>
        </w:rPr>
        <w:t>bursieri</w:t>
      </w:r>
      <w:proofErr w:type="spellEnd"/>
      <w:r w:rsidRPr="001D33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392">
        <w:rPr>
          <w:rFonts w:ascii="Times New Roman" w:hAnsi="Times New Roman" w:cs="Times New Roman"/>
          <w:sz w:val="24"/>
        </w:rPr>
        <w:t>globali</w:t>
      </w:r>
      <w:proofErr w:type="spellEnd"/>
      <w:r w:rsidRPr="001D3392">
        <w:rPr>
          <w:rFonts w:ascii="Times New Roman" w:hAnsi="Times New Roman" w:cs="Times New Roman"/>
          <w:sz w:val="24"/>
        </w:rPr>
        <w:t xml:space="preserve"> (de pe </w:t>
      </w:r>
      <w:proofErr w:type="spellStart"/>
      <w:r w:rsidRPr="001D3392">
        <w:rPr>
          <w:rFonts w:ascii="Times New Roman" w:hAnsi="Times New Roman" w:cs="Times New Roman"/>
          <w:sz w:val="24"/>
        </w:rPr>
        <w:t>piața</w:t>
      </w:r>
      <w:proofErr w:type="spellEnd"/>
      <w:r w:rsidRPr="001D3392">
        <w:rPr>
          <w:rFonts w:ascii="Times New Roman" w:hAnsi="Times New Roman" w:cs="Times New Roman"/>
          <w:sz w:val="24"/>
        </w:rPr>
        <w:t xml:space="preserve"> SUA – S&amp;P500 </w:t>
      </w:r>
      <w:proofErr w:type="spellStart"/>
      <w:r w:rsidRPr="001D3392">
        <w:rPr>
          <w:rFonts w:ascii="Times New Roman" w:hAnsi="Times New Roman" w:cs="Times New Roman"/>
          <w:sz w:val="24"/>
        </w:rPr>
        <w:t>și</w:t>
      </w:r>
      <w:proofErr w:type="spellEnd"/>
      <w:r w:rsidRPr="001D3392">
        <w:rPr>
          <w:rFonts w:ascii="Times New Roman" w:hAnsi="Times New Roman" w:cs="Times New Roman"/>
          <w:sz w:val="24"/>
        </w:rPr>
        <w:t xml:space="preserve"> din zona euro – EURO STOXX 50)),</w:t>
      </w:r>
    </w:p>
    <w:p w14:paraId="2413C923" w14:textId="77777777" w:rsidR="006F2521" w:rsidRPr="001D3392" w:rsidRDefault="006F2521" w:rsidP="006F25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1D33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392">
        <w:rPr>
          <w:rFonts w:ascii="Times New Roman" w:hAnsi="Times New Roman" w:cs="Times New Roman"/>
          <w:sz w:val="24"/>
        </w:rPr>
        <w:t>indicele</w:t>
      </w:r>
      <w:proofErr w:type="spellEnd"/>
      <w:r w:rsidRPr="001D3392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1D3392">
        <w:rPr>
          <w:rFonts w:ascii="Times New Roman" w:hAnsi="Times New Roman" w:cs="Times New Roman"/>
          <w:sz w:val="24"/>
        </w:rPr>
        <w:t>volatilitate</w:t>
      </w:r>
      <w:proofErr w:type="spellEnd"/>
      <w:r w:rsidRPr="001D3392">
        <w:rPr>
          <w:rFonts w:ascii="Times New Roman" w:hAnsi="Times New Roman" w:cs="Times New Roman"/>
          <w:sz w:val="24"/>
        </w:rPr>
        <w:t xml:space="preserve"> (VIX),</w:t>
      </w:r>
    </w:p>
    <w:p w14:paraId="26180CB2" w14:textId="77777777" w:rsidR="006F2521" w:rsidRPr="001D3392" w:rsidRDefault="006F2521" w:rsidP="006F25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1D3392">
        <w:rPr>
          <w:rFonts w:ascii="Times New Roman" w:hAnsi="Times New Roman" w:cs="Times New Roman"/>
          <w:sz w:val="24"/>
        </w:rPr>
        <w:t>indicele</w:t>
      </w:r>
      <w:proofErr w:type="spellEnd"/>
      <w:r w:rsidRPr="001D3392">
        <w:rPr>
          <w:rFonts w:ascii="Times New Roman" w:hAnsi="Times New Roman" w:cs="Times New Roman"/>
          <w:sz w:val="24"/>
        </w:rPr>
        <w:t xml:space="preserve"> S&amp;P US Treasury Bill,</w:t>
      </w:r>
    </w:p>
    <w:p w14:paraId="03ABDF5C" w14:textId="77777777" w:rsidR="006F2521" w:rsidRPr="001D3392" w:rsidRDefault="006F2521" w:rsidP="006F25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1D3392">
        <w:rPr>
          <w:rFonts w:ascii="Times New Roman" w:hAnsi="Times New Roman" w:cs="Times New Roman"/>
          <w:sz w:val="24"/>
        </w:rPr>
        <w:t>România</w:t>
      </w:r>
      <w:proofErr w:type="spellEnd"/>
      <w:r w:rsidRPr="001D33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392">
        <w:rPr>
          <w:rFonts w:ascii="Times New Roman" w:hAnsi="Times New Roman" w:cs="Times New Roman"/>
          <w:sz w:val="24"/>
        </w:rPr>
        <w:t>și</w:t>
      </w:r>
      <w:proofErr w:type="spellEnd"/>
      <w:r w:rsidRPr="001D33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392">
        <w:rPr>
          <w:rFonts w:ascii="Times New Roman" w:hAnsi="Times New Roman" w:cs="Times New Roman"/>
          <w:sz w:val="24"/>
        </w:rPr>
        <w:t>ratele</w:t>
      </w:r>
      <w:proofErr w:type="spellEnd"/>
      <w:r w:rsidRPr="001D33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392">
        <w:rPr>
          <w:rFonts w:ascii="Times New Roman" w:hAnsi="Times New Roman" w:cs="Times New Roman"/>
          <w:sz w:val="24"/>
        </w:rPr>
        <w:t>dobânzilor</w:t>
      </w:r>
      <w:proofErr w:type="spellEnd"/>
      <w:r w:rsidRPr="001D3392">
        <w:rPr>
          <w:rFonts w:ascii="Times New Roman" w:hAnsi="Times New Roman" w:cs="Times New Roman"/>
          <w:sz w:val="24"/>
        </w:rPr>
        <w:t xml:space="preserve"> din zona euro (ROBOR </w:t>
      </w:r>
      <w:proofErr w:type="spellStart"/>
      <w:r w:rsidRPr="001D3392">
        <w:rPr>
          <w:rFonts w:ascii="Times New Roman" w:hAnsi="Times New Roman" w:cs="Times New Roman"/>
          <w:sz w:val="24"/>
        </w:rPr>
        <w:t>și</w:t>
      </w:r>
      <w:proofErr w:type="spellEnd"/>
      <w:r w:rsidRPr="001D3392">
        <w:rPr>
          <w:rFonts w:ascii="Times New Roman" w:hAnsi="Times New Roman" w:cs="Times New Roman"/>
          <w:sz w:val="24"/>
        </w:rPr>
        <w:t xml:space="preserve"> EURIBOR), </w:t>
      </w:r>
    </w:p>
    <w:p w14:paraId="73A485F7" w14:textId="77777777" w:rsidR="006F2521" w:rsidRDefault="006F2521" w:rsidP="006F25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1D3392">
        <w:rPr>
          <w:rFonts w:ascii="Times New Roman" w:hAnsi="Times New Roman" w:cs="Times New Roman"/>
          <w:sz w:val="24"/>
        </w:rPr>
        <w:t>indicii</w:t>
      </w:r>
      <w:proofErr w:type="spellEnd"/>
      <w:r w:rsidRPr="001D33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392">
        <w:rPr>
          <w:rFonts w:ascii="Times New Roman" w:hAnsi="Times New Roman" w:cs="Times New Roman"/>
          <w:sz w:val="24"/>
        </w:rPr>
        <w:t>bursieri</w:t>
      </w:r>
      <w:proofErr w:type="spellEnd"/>
      <w:r w:rsidRPr="001D33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392">
        <w:rPr>
          <w:rFonts w:ascii="Times New Roman" w:hAnsi="Times New Roman" w:cs="Times New Roman"/>
          <w:sz w:val="24"/>
        </w:rPr>
        <w:t>germani</w:t>
      </w:r>
      <w:proofErr w:type="spellEnd"/>
      <w:r w:rsidRPr="001D33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392">
        <w:rPr>
          <w:rFonts w:ascii="Times New Roman" w:hAnsi="Times New Roman" w:cs="Times New Roman"/>
          <w:sz w:val="24"/>
        </w:rPr>
        <w:t>și</w:t>
      </w:r>
      <w:proofErr w:type="spellEnd"/>
      <w:r w:rsidRPr="001D33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392">
        <w:rPr>
          <w:rFonts w:ascii="Times New Roman" w:hAnsi="Times New Roman" w:cs="Times New Roman"/>
          <w:sz w:val="24"/>
        </w:rPr>
        <w:t>francezi</w:t>
      </w:r>
      <w:proofErr w:type="spellEnd"/>
      <w:r w:rsidRPr="001D3392">
        <w:rPr>
          <w:rFonts w:ascii="Times New Roman" w:hAnsi="Times New Roman" w:cs="Times New Roman"/>
          <w:sz w:val="24"/>
        </w:rPr>
        <w:t xml:space="preserve"> (DAX 30 </w:t>
      </w:r>
      <w:proofErr w:type="spellStart"/>
      <w:r w:rsidRPr="001D3392">
        <w:rPr>
          <w:rFonts w:ascii="Times New Roman" w:hAnsi="Times New Roman" w:cs="Times New Roman"/>
          <w:sz w:val="24"/>
        </w:rPr>
        <w:t>și</w:t>
      </w:r>
      <w:proofErr w:type="spellEnd"/>
      <w:r w:rsidRPr="001D3392">
        <w:rPr>
          <w:rFonts w:ascii="Times New Roman" w:hAnsi="Times New Roman" w:cs="Times New Roman"/>
          <w:sz w:val="24"/>
        </w:rPr>
        <w:t xml:space="preserve"> CAC 40).</w:t>
      </w:r>
    </w:p>
    <w:p w14:paraId="56BA565B" w14:textId="071C240B" w:rsidR="006F2521" w:rsidRDefault="006F2521">
      <w:proofErr w:type="spellStart"/>
      <w:r>
        <w:t>Variabile</w:t>
      </w:r>
      <w:proofErr w:type="spellEnd"/>
      <w:r>
        <w:t xml:space="preserve"> </w:t>
      </w:r>
      <w:proofErr w:type="spellStart"/>
      <w:r>
        <w:t>macroeconomice</w:t>
      </w:r>
      <w:proofErr w:type="spellEnd"/>
      <w:r>
        <w:t xml:space="preserve"> </w:t>
      </w:r>
      <w:proofErr w:type="spellStart"/>
      <w:r>
        <w:t>adăugate</w:t>
      </w:r>
      <w:proofErr w:type="spellEnd"/>
    </w:p>
    <w:p w14:paraId="5D9F74D0" w14:textId="31123600" w:rsidR="006F2521" w:rsidRDefault="006F2521" w:rsidP="006F2521">
      <w:pPr>
        <w:pStyle w:val="ListParagraph"/>
        <w:numPr>
          <w:ilvl w:val="0"/>
          <w:numId w:val="3"/>
        </w:numPr>
      </w:pPr>
      <w:r>
        <w:t xml:space="preserve">rata </w:t>
      </w:r>
      <w:proofErr w:type="spellStart"/>
      <w:r>
        <w:t>somajului</w:t>
      </w:r>
      <w:proofErr w:type="spellEnd"/>
      <w:r>
        <w:t xml:space="preserve"> (</w:t>
      </w:r>
      <w:proofErr w:type="spellStart"/>
      <w:r>
        <w:t>interpolare</w:t>
      </w:r>
      <w:proofErr w:type="spellEnd"/>
      <w:r>
        <w:t xml:space="preserve"> de la date </w:t>
      </w:r>
      <w:proofErr w:type="spellStart"/>
      <w:r>
        <w:t>lunare</w:t>
      </w:r>
      <w:proofErr w:type="spellEnd"/>
      <w:r>
        <w:t xml:space="preserve"> la date </w:t>
      </w:r>
      <w:proofErr w:type="spellStart"/>
      <w:r>
        <w:t>zilnice</w:t>
      </w:r>
      <w:proofErr w:type="spellEnd"/>
      <w:r>
        <w:t>)</w:t>
      </w:r>
    </w:p>
    <w:p w14:paraId="22AE6350" w14:textId="4A62B6F1" w:rsidR="006F2521" w:rsidRDefault="006F2521" w:rsidP="006F2521">
      <w:pPr>
        <w:pStyle w:val="ListParagraph"/>
        <w:numPr>
          <w:ilvl w:val="0"/>
          <w:numId w:val="3"/>
        </w:numPr>
      </w:pPr>
      <w:proofErr w:type="spellStart"/>
      <w:r>
        <w:t>inflatia</w:t>
      </w:r>
      <w:proofErr w:type="spellEnd"/>
      <w:r>
        <w:t xml:space="preserve"> </w:t>
      </w:r>
      <w:r>
        <w:t>(</w:t>
      </w:r>
      <w:proofErr w:type="spellStart"/>
      <w:r>
        <w:t>interpolare</w:t>
      </w:r>
      <w:proofErr w:type="spellEnd"/>
      <w:r>
        <w:t xml:space="preserve"> de la date </w:t>
      </w:r>
      <w:proofErr w:type="spellStart"/>
      <w:r>
        <w:t>lunare</w:t>
      </w:r>
      <w:proofErr w:type="spellEnd"/>
      <w:r>
        <w:t xml:space="preserve"> la date </w:t>
      </w:r>
      <w:proofErr w:type="spellStart"/>
      <w:r>
        <w:t>zilnice</w:t>
      </w:r>
      <w:proofErr w:type="spellEnd"/>
      <w:r>
        <w:t>)</w:t>
      </w:r>
    </w:p>
    <w:p w14:paraId="5229721A" w14:textId="77777777" w:rsidR="006F2521" w:rsidRPr="006F2521" w:rsidRDefault="006F2521" w:rsidP="006F25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F2521">
        <w:rPr>
          <w:rFonts w:ascii="Times New Roman" w:hAnsi="Times New Roman" w:cs="Times New Roman"/>
          <w:sz w:val="24"/>
        </w:rPr>
        <w:t xml:space="preserve">MIWD0EN00PUS – (MSCI ACWI Energy Index) </w:t>
      </w:r>
      <w:proofErr w:type="spellStart"/>
      <w:r w:rsidRPr="006F2521">
        <w:rPr>
          <w:rFonts w:ascii="Times New Roman" w:hAnsi="Times New Roman" w:cs="Times New Roman"/>
          <w:sz w:val="24"/>
        </w:rPr>
        <w:t>Acest</w:t>
      </w:r>
      <w:proofErr w:type="spellEnd"/>
      <w:r w:rsidRPr="006F25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2521">
        <w:rPr>
          <w:rFonts w:ascii="Times New Roman" w:hAnsi="Times New Roman" w:cs="Times New Roman"/>
          <w:sz w:val="24"/>
        </w:rPr>
        <w:t>indice</w:t>
      </w:r>
      <w:proofErr w:type="spellEnd"/>
      <w:r w:rsidRPr="006F25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2521">
        <w:rPr>
          <w:rFonts w:ascii="Times New Roman" w:hAnsi="Times New Roman" w:cs="Times New Roman"/>
          <w:sz w:val="24"/>
        </w:rPr>
        <w:t>este</w:t>
      </w:r>
      <w:proofErr w:type="spellEnd"/>
      <w:r w:rsidRPr="006F25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2521">
        <w:rPr>
          <w:rFonts w:ascii="Times New Roman" w:hAnsi="Times New Roman" w:cs="Times New Roman"/>
          <w:sz w:val="24"/>
        </w:rPr>
        <w:t>parte</w:t>
      </w:r>
      <w:proofErr w:type="spellEnd"/>
      <w:r w:rsidRPr="006F2521">
        <w:rPr>
          <w:rFonts w:ascii="Times New Roman" w:hAnsi="Times New Roman" w:cs="Times New Roman"/>
          <w:sz w:val="24"/>
        </w:rPr>
        <w:t xml:space="preserve"> a MSCI All Country World Index (ACWI) </w:t>
      </w:r>
      <w:proofErr w:type="spellStart"/>
      <w:r w:rsidRPr="006F2521">
        <w:rPr>
          <w:rFonts w:ascii="Times New Roman" w:hAnsi="Times New Roman" w:cs="Times New Roman"/>
          <w:sz w:val="24"/>
        </w:rPr>
        <w:t>și</w:t>
      </w:r>
      <w:proofErr w:type="spellEnd"/>
      <w:r w:rsidRPr="006F25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2521">
        <w:rPr>
          <w:rFonts w:ascii="Times New Roman" w:hAnsi="Times New Roman" w:cs="Times New Roman"/>
          <w:sz w:val="24"/>
        </w:rPr>
        <w:t>urmărește</w:t>
      </w:r>
      <w:proofErr w:type="spellEnd"/>
      <w:r w:rsidRPr="006F25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2521">
        <w:rPr>
          <w:rFonts w:ascii="Times New Roman" w:hAnsi="Times New Roman" w:cs="Times New Roman"/>
          <w:sz w:val="24"/>
        </w:rPr>
        <w:t>performanța</w:t>
      </w:r>
      <w:proofErr w:type="spellEnd"/>
      <w:r w:rsidRPr="006F25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2521">
        <w:rPr>
          <w:rFonts w:ascii="Times New Roman" w:hAnsi="Times New Roman" w:cs="Times New Roman"/>
          <w:sz w:val="24"/>
        </w:rPr>
        <w:t>sectorului</w:t>
      </w:r>
      <w:proofErr w:type="spellEnd"/>
      <w:r w:rsidRPr="006F2521">
        <w:rPr>
          <w:rFonts w:ascii="Times New Roman" w:hAnsi="Times New Roman" w:cs="Times New Roman"/>
          <w:sz w:val="24"/>
        </w:rPr>
        <w:t xml:space="preserve"> energetic la </w:t>
      </w:r>
      <w:proofErr w:type="spellStart"/>
      <w:r w:rsidRPr="006F2521">
        <w:rPr>
          <w:rFonts w:ascii="Times New Roman" w:hAnsi="Times New Roman" w:cs="Times New Roman"/>
          <w:sz w:val="24"/>
        </w:rPr>
        <w:t>nivel</w:t>
      </w:r>
      <w:proofErr w:type="spellEnd"/>
      <w:r w:rsidRPr="006F2521">
        <w:rPr>
          <w:rFonts w:ascii="Times New Roman" w:hAnsi="Times New Roman" w:cs="Times New Roman"/>
          <w:sz w:val="24"/>
        </w:rPr>
        <w:t xml:space="preserve"> global. Include </w:t>
      </w:r>
      <w:proofErr w:type="spellStart"/>
      <w:r w:rsidRPr="006F2521">
        <w:rPr>
          <w:rFonts w:ascii="Times New Roman" w:hAnsi="Times New Roman" w:cs="Times New Roman"/>
          <w:sz w:val="24"/>
        </w:rPr>
        <w:t>companii</w:t>
      </w:r>
      <w:proofErr w:type="spellEnd"/>
      <w:r w:rsidRPr="006F2521">
        <w:rPr>
          <w:rFonts w:ascii="Times New Roman" w:hAnsi="Times New Roman" w:cs="Times New Roman"/>
          <w:sz w:val="24"/>
        </w:rPr>
        <w:t xml:space="preserve"> din </w:t>
      </w:r>
      <w:proofErr w:type="spellStart"/>
      <w:r w:rsidRPr="006F2521">
        <w:rPr>
          <w:rFonts w:ascii="Times New Roman" w:hAnsi="Times New Roman" w:cs="Times New Roman"/>
          <w:sz w:val="24"/>
        </w:rPr>
        <w:t>întreaga</w:t>
      </w:r>
      <w:proofErr w:type="spellEnd"/>
      <w:r w:rsidRPr="006F25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2521">
        <w:rPr>
          <w:rFonts w:ascii="Times New Roman" w:hAnsi="Times New Roman" w:cs="Times New Roman"/>
          <w:sz w:val="24"/>
        </w:rPr>
        <w:t>lume</w:t>
      </w:r>
      <w:proofErr w:type="spellEnd"/>
      <w:r w:rsidRPr="006F2521">
        <w:rPr>
          <w:rFonts w:ascii="Times New Roman" w:hAnsi="Times New Roman" w:cs="Times New Roman"/>
          <w:sz w:val="24"/>
        </w:rPr>
        <w:t xml:space="preserve"> implicate </w:t>
      </w:r>
      <w:proofErr w:type="spellStart"/>
      <w:r w:rsidRPr="006F2521">
        <w:rPr>
          <w:rFonts w:ascii="Times New Roman" w:hAnsi="Times New Roman" w:cs="Times New Roman"/>
          <w:sz w:val="24"/>
        </w:rPr>
        <w:t>în</w:t>
      </w:r>
      <w:proofErr w:type="spellEnd"/>
      <w:r w:rsidRPr="006F25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2521">
        <w:rPr>
          <w:rFonts w:ascii="Times New Roman" w:hAnsi="Times New Roman" w:cs="Times New Roman"/>
          <w:sz w:val="24"/>
        </w:rPr>
        <w:t>producția</w:t>
      </w:r>
      <w:proofErr w:type="spellEnd"/>
      <w:r w:rsidRPr="006F252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F2521">
        <w:rPr>
          <w:rFonts w:ascii="Times New Roman" w:hAnsi="Times New Roman" w:cs="Times New Roman"/>
          <w:sz w:val="24"/>
        </w:rPr>
        <w:t>rafinarea</w:t>
      </w:r>
      <w:proofErr w:type="spellEnd"/>
      <w:r w:rsidRPr="006F25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2521">
        <w:rPr>
          <w:rFonts w:ascii="Times New Roman" w:hAnsi="Times New Roman" w:cs="Times New Roman"/>
          <w:sz w:val="24"/>
        </w:rPr>
        <w:t>și</w:t>
      </w:r>
      <w:proofErr w:type="spellEnd"/>
      <w:r w:rsidRPr="006F25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2521">
        <w:rPr>
          <w:rFonts w:ascii="Times New Roman" w:hAnsi="Times New Roman" w:cs="Times New Roman"/>
          <w:sz w:val="24"/>
        </w:rPr>
        <w:t>distribuția</w:t>
      </w:r>
      <w:proofErr w:type="spellEnd"/>
      <w:r w:rsidRPr="006F2521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6F2521">
        <w:rPr>
          <w:rFonts w:ascii="Times New Roman" w:hAnsi="Times New Roman" w:cs="Times New Roman"/>
          <w:sz w:val="24"/>
        </w:rPr>
        <w:t>energie</w:t>
      </w:r>
      <w:proofErr w:type="spellEnd"/>
      <w:r w:rsidRPr="006F2521">
        <w:rPr>
          <w:rFonts w:ascii="Times New Roman" w:hAnsi="Times New Roman" w:cs="Times New Roman"/>
          <w:sz w:val="24"/>
        </w:rPr>
        <w:t>.</w:t>
      </w:r>
    </w:p>
    <w:p w14:paraId="1B0B3F04" w14:textId="77777777" w:rsidR="006F2521" w:rsidRDefault="006F2521" w:rsidP="006F2521">
      <w:pPr>
        <w:pStyle w:val="NormalWeb"/>
        <w:numPr>
          <w:ilvl w:val="0"/>
          <w:numId w:val="3"/>
        </w:numPr>
        <w:shd w:val="clear" w:color="auto" w:fill="FFFFFF"/>
        <w:spacing w:after="300"/>
        <w:jc w:val="both"/>
        <w:rPr>
          <w:rFonts w:eastAsiaTheme="minorHAnsi"/>
          <w:color w:val="0F0F0F"/>
          <w:spacing w:val="4"/>
        </w:rPr>
      </w:pPr>
      <w:r w:rsidRPr="00960C98">
        <w:rPr>
          <w:rFonts w:eastAsiaTheme="minorHAnsi"/>
          <w:color w:val="0F0F0F"/>
          <w:spacing w:val="4"/>
        </w:rPr>
        <w:t>DJUSEN</w:t>
      </w:r>
      <w:r>
        <w:rPr>
          <w:rFonts w:eastAsiaTheme="minorHAnsi"/>
          <w:color w:val="0F0F0F"/>
          <w:spacing w:val="4"/>
        </w:rPr>
        <w:t xml:space="preserve"> - </w:t>
      </w:r>
      <w:r w:rsidRPr="00960C98">
        <w:rPr>
          <w:rFonts w:eastAsiaTheme="minorHAnsi"/>
          <w:color w:val="0F0F0F"/>
          <w:spacing w:val="4"/>
        </w:rPr>
        <w:t xml:space="preserve">Dow Jones U.S. Oil &amp; Gas Index: </w:t>
      </w:r>
      <w:proofErr w:type="spellStart"/>
      <w:r w:rsidRPr="00960C98">
        <w:rPr>
          <w:rFonts w:eastAsiaTheme="minorHAnsi"/>
          <w:color w:val="0F0F0F"/>
          <w:spacing w:val="4"/>
        </w:rPr>
        <w:t>Acesta</w:t>
      </w:r>
      <w:proofErr w:type="spellEnd"/>
      <w:r w:rsidRPr="00960C98">
        <w:rPr>
          <w:rFonts w:eastAsiaTheme="minorHAnsi"/>
          <w:color w:val="0F0F0F"/>
          <w:spacing w:val="4"/>
        </w:rPr>
        <w:t xml:space="preserve"> </w:t>
      </w:r>
      <w:proofErr w:type="spellStart"/>
      <w:r w:rsidRPr="00960C98">
        <w:rPr>
          <w:rFonts w:eastAsiaTheme="minorHAnsi"/>
          <w:color w:val="0F0F0F"/>
          <w:spacing w:val="4"/>
        </w:rPr>
        <w:t>este</w:t>
      </w:r>
      <w:proofErr w:type="spellEnd"/>
      <w:r w:rsidRPr="00960C98">
        <w:rPr>
          <w:rFonts w:eastAsiaTheme="minorHAnsi"/>
          <w:color w:val="0F0F0F"/>
          <w:spacing w:val="4"/>
        </w:rPr>
        <w:t xml:space="preserve"> un </w:t>
      </w:r>
      <w:proofErr w:type="spellStart"/>
      <w:r w:rsidRPr="00960C98">
        <w:rPr>
          <w:rFonts w:eastAsiaTheme="minorHAnsi"/>
          <w:color w:val="0F0F0F"/>
          <w:spacing w:val="4"/>
        </w:rPr>
        <w:t>indice</w:t>
      </w:r>
      <w:proofErr w:type="spellEnd"/>
      <w:r w:rsidRPr="00960C98">
        <w:rPr>
          <w:rFonts w:eastAsiaTheme="minorHAnsi"/>
          <w:color w:val="0F0F0F"/>
          <w:spacing w:val="4"/>
        </w:rPr>
        <w:t xml:space="preserve"> care </w:t>
      </w:r>
      <w:proofErr w:type="spellStart"/>
      <w:r w:rsidRPr="00960C98">
        <w:rPr>
          <w:rFonts w:eastAsiaTheme="minorHAnsi"/>
          <w:color w:val="0F0F0F"/>
          <w:spacing w:val="4"/>
        </w:rPr>
        <w:t>urmărește</w:t>
      </w:r>
      <w:proofErr w:type="spellEnd"/>
      <w:r w:rsidRPr="00960C98">
        <w:rPr>
          <w:rFonts w:eastAsiaTheme="minorHAnsi"/>
          <w:color w:val="0F0F0F"/>
          <w:spacing w:val="4"/>
        </w:rPr>
        <w:t xml:space="preserve"> </w:t>
      </w:r>
      <w:proofErr w:type="spellStart"/>
      <w:r w:rsidRPr="00960C98">
        <w:rPr>
          <w:rFonts w:eastAsiaTheme="minorHAnsi"/>
          <w:color w:val="0F0F0F"/>
          <w:spacing w:val="4"/>
        </w:rPr>
        <w:t>performanța</w:t>
      </w:r>
      <w:proofErr w:type="spellEnd"/>
      <w:r w:rsidRPr="00960C98">
        <w:rPr>
          <w:rFonts w:eastAsiaTheme="minorHAnsi"/>
          <w:color w:val="0F0F0F"/>
          <w:spacing w:val="4"/>
        </w:rPr>
        <w:t xml:space="preserve"> </w:t>
      </w:r>
      <w:proofErr w:type="spellStart"/>
      <w:r w:rsidRPr="00960C98">
        <w:rPr>
          <w:rFonts w:eastAsiaTheme="minorHAnsi"/>
          <w:color w:val="0F0F0F"/>
          <w:spacing w:val="4"/>
        </w:rPr>
        <w:t>companiilor</w:t>
      </w:r>
      <w:proofErr w:type="spellEnd"/>
      <w:r w:rsidRPr="00960C98">
        <w:rPr>
          <w:rFonts w:eastAsiaTheme="minorHAnsi"/>
          <w:color w:val="0F0F0F"/>
          <w:spacing w:val="4"/>
        </w:rPr>
        <w:t xml:space="preserve"> din </w:t>
      </w:r>
      <w:proofErr w:type="spellStart"/>
      <w:r w:rsidRPr="00960C98">
        <w:rPr>
          <w:rFonts w:eastAsiaTheme="minorHAnsi"/>
          <w:color w:val="0F0F0F"/>
          <w:spacing w:val="4"/>
        </w:rPr>
        <w:t>sectorul</w:t>
      </w:r>
      <w:proofErr w:type="spellEnd"/>
      <w:r w:rsidRPr="00960C98">
        <w:rPr>
          <w:rFonts w:eastAsiaTheme="minorHAnsi"/>
          <w:color w:val="0F0F0F"/>
          <w:spacing w:val="4"/>
        </w:rPr>
        <w:t xml:space="preserve"> </w:t>
      </w:r>
      <w:proofErr w:type="spellStart"/>
      <w:r w:rsidRPr="00960C98">
        <w:rPr>
          <w:rFonts w:eastAsiaTheme="minorHAnsi"/>
          <w:color w:val="0F0F0F"/>
          <w:spacing w:val="4"/>
        </w:rPr>
        <w:t>petrolului</w:t>
      </w:r>
      <w:proofErr w:type="spellEnd"/>
      <w:r w:rsidRPr="00960C98">
        <w:rPr>
          <w:rFonts w:eastAsiaTheme="minorHAnsi"/>
          <w:color w:val="0F0F0F"/>
          <w:spacing w:val="4"/>
        </w:rPr>
        <w:t xml:space="preserve"> </w:t>
      </w:r>
      <w:proofErr w:type="spellStart"/>
      <w:r w:rsidRPr="00960C98">
        <w:rPr>
          <w:rFonts w:eastAsiaTheme="minorHAnsi"/>
          <w:color w:val="0F0F0F"/>
          <w:spacing w:val="4"/>
        </w:rPr>
        <w:t>și</w:t>
      </w:r>
      <w:proofErr w:type="spellEnd"/>
      <w:r w:rsidRPr="00960C98">
        <w:rPr>
          <w:rFonts w:eastAsiaTheme="minorHAnsi"/>
          <w:color w:val="0F0F0F"/>
          <w:spacing w:val="4"/>
        </w:rPr>
        <w:t xml:space="preserve"> </w:t>
      </w:r>
      <w:proofErr w:type="spellStart"/>
      <w:r w:rsidRPr="00960C98">
        <w:rPr>
          <w:rFonts w:eastAsiaTheme="minorHAnsi"/>
          <w:color w:val="0F0F0F"/>
          <w:spacing w:val="4"/>
        </w:rPr>
        <w:t>gazelor</w:t>
      </w:r>
      <w:proofErr w:type="spellEnd"/>
      <w:r w:rsidRPr="00960C98">
        <w:rPr>
          <w:rFonts w:eastAsiaTheme="minorHAnsi"/>
          <w:color w:val="0F0F0F"/>
          <w:spacing w:val="4"/>
        </w:rPr>
        <w:t xml:space="preserve"> </w:t>
      </w:r>
      <w:proofErr w:type="spellStart"/>
      <w:r w:rsidRPr="00960C98">
        <w:rPr>
          <w:rFonts w:eastAsiaTheme="minorHAnsi"/>
          <w:color w:val="0F0F0F"/>
          <w:spacing w:val="4"/>
        </w:rPr>
        <w:t>naturale</w:t>
      </w:r>
      <w:proofErr w:type="spellEnd"/>
      <w:r w:rsidRPr="00960C98">
        <w:rPr>
          <w:rFonts w:eastAsiaTheme="minorHAnsi"/>
          <w:color w:val="0F0F0F"/>
          <w:spacing w:val="4"/>
        </w:rPr>
        <w:t xml:space="preserve"> din </w:t>
      </w:r>
      <w:proofErr w:type="spellStart"/>
      <w:r w:rsidRPr="00960C98">
        <w:rPr>
          <w:rFonts w:eastAsiaTheme="minorHAnsi"/>
          <w:color w:val="0F0F0F"/>
          <w:spacing w:val="4"/>
        </w:rPr>
        <w:t>Statele</w:t>
      </w:r>
      <w:proofErr w:type="spellEnd"/>
      <w:r w:rsidRPr="00960C98">
        <w:rPr>
          <w:rFonts w:eastAsiaTheme="minorHAnsi"/>
          <w:color w:val="0F0F0F"/>
          <w:spacing w:val="4"/>
        </w:rPr>
        <w:t xml:space="preserve"> Unite ale </w:t>
      </w:r>
      <w:proofErr w:type="spellStart"/>
      <w:r w:rsidRPr="00960C98">
        <w:rPr>
          <w:rFonts w:eastAsiaTheme="minorHAnsi"/>
          <w:color w:val="0F0F0F"/>
          <w:spacing w:val="4"/>
        </w:rPr>
        <w:t>Americii</w:t>
      </w:r>
      <w:proofErr w:type="spellEnd"/>
      <w:r w:rsidRPr="00960C98">
        <w:rPr>
          <w:rFonts w:eastAsiaTheme="minorHAnsi"/>
          <w:color w:val="0F0F0F"/>
          <w:spacing w:val="4"/>
        </w:rPr>
        <w:t xml:space="preserve">. Include </w:t>
      </w:r>
      <w:proofErr w:type="spellStart"/>
      <w:r w:rsidRPr="00960C98">
        <w:rPr>
          <w:rFonts w:eastAsiaTheme="minorHAnsi"/>
          <w:color w:val="0F0F0F"/>
          <w:spacing w:val="4"/>
        </w:rPr>
        <w:t>companii</w:t>
      </w:r>
      <w:proofErr w:type="spellEnd"/>
      <w:r w:rsidRPr="00960C98">
        <w:rPr>
          <w:rFonts w:eastAsiaTheme="minorHAnsi"/>
          <w:color w:val="0F0F0F"/>
          <w:spacing w:val="4"/>
        </w:rPr>
        <w:t xml:space="preserve"> implicate </w:t>
      </w:r>
      <w:proofErr w:type="spellStart"/>
      <w:r w:rsidRPr="00960C98">
        <w:rPr>
          <w:rFonts w:eastAsiaTheme="minorHAnsi"/>
          <w:color w:val="0F0F0F"/>
          <w:spacing w:val="4"/>
        </w:rPr>
        <w:t>în</w:t>
      </w:r>
      <w:proofErr w:type="spellEnd"/>
      <w:r w:rsidRPr="00960C98">
        <w:rPr>
          <w:rFonts w:eastAsiaTheme="minorHAnsi"/>
          <w:color w:val="0F0F0F"/>
          <w:spacing w:val="4"/>
        </w:rPr>
        <w:t xml:space="preserve"> </w:t>
      </w:r>
      <w:proofErr w:type="spellStart"/>
      <w:r w:rsidRPr="00960C98">
        <w:rPr>
          <w:rFonts w:eastAsiaTheme="minorHAnsi"/>
          <w:color w:val="0F0F0F"/>
          <w:spacing w:val="4"/>
        </w:rPr>
        <w:t>explorarea</w:t>
      </w:r>
      <w:proofErr w:type="spellEnd"/>
      <w:r w:rsidRPr="00960C98">
        <w:rPr>
          <w:rFonts w:eastAsiaTheme="minorHAnsi"/>
          <w:color w:val="0F0F0F"/>
          <w:spacing w:val="4"/>
        </w:rPr>
        <w:t xml:space="preserve">, </w:t>
      </w:r>
      <w:proofErr w:type="spellStart"/>
      <w:r w:rsidRPr="00960C98">
        <w:rPr>
          <w:rFonts w:eastAsiaTheme="minorHAnsi"/>
          <w:color w:val="0F0F0F"/>
          <w:spacing w:val="4"/>
        </w:rPr>
        <w:t>producția</w:t>
      </w:r>
      <w:proofErr w:type="spellEnd"/>
      <w:r w:rsidRPr="00960C98">
        <w:rPr>
          <w:rFonts w:eastAsiaTheme="minorHAnsi"/>
          <w:color w:val="0F0F0F"/>
          <w:spacing w:val="4"/>
        </w:rPr>
        <w:t xml:space="preserve"> </w:t>
      </w:r>
      <w:proofErr w:type="spellStart"/>
      <w:r w:rsidRPr="00960C98">
        <w:rPr>
          <w:rFonts w:eastAsiaTheme="minorHAnsi"/>
          <w:color w:val="0F0F0F"/>
          <w:spacing w:val="4"/>
        </w:rPr>
        <w:t>și</w:t>
      </w:r>
      <w:proofErr w:type="spellEnd"/>
      <w:r w:rsidRPr="00960C98">
        <w:rPr>
          <w:rFonts w:eastAsiaTheme="minorHAnsi"/>
          <w:color w:val="0F0F0F"/>
          <w:spacing w:val="4"/>
        </w:rPr>
        <w:t xml:space="preserve"> </w:t>
      </w:r>
      <w:proofErr w:type="spellStart"/>
      <w:r w:rsidRPr="00960C98">
        <w:rPr>
          <w:rFonts w:eastAsiaTheme="minorHAnsi"/>
          <w:color w:val="0F0F0F"/>
          <w:spacing w:val="4"/>
        </w:rPr>
        <w:t>distribuția</w:t>
      </w:r>
      <w:proofErr w:type="spellEnd"/>
      <w:r w:rsidRPr="00960C98">
        <w:rPr>
          <w:rFonts w:eastAsiaTheme="minorHAnsi"/>
          <w:color w:val="0F0F0F"/>
          <w:spacing w:val="4"/>
        </w:rPr>
        <w:t xml:space="preserve"> de petrol </w:t>
      </w:r>
      <w:proofErr w:type="spellStart"/>
      <w:r w:rsidRPr="00960C98">
        <w:rPr>
          <w:rFonts w:eastAsiaTheme="minorHAnsi"/>
          <w:color w:val="0F0F0F"/>
          <w:spacing w:val="4"/>
        </w:rPr>
        <w:t>și</w:t>
      </w:r>
      <w:proofErr w:type="spellEnd"/>
      <w:r w:rsidRPr="00960C98">
        <w:rPr>
          <w:rFonts w:eastAsiaTheme="minorHAnsi"/>
          <w:color w:val="0F0F0F"/>
          <w:spacing w:val="4"/>
        </w:rPr>
        <w:t xml:space="preserve"> gaze </w:t>
      </w:r>
      <w:proofErr w:type="spellStart"/>
      <w:r w:rsidRPr="00960C98">
        <w:rPr>
          <w:rFonts w:eastAsiaTheme="minorHAnsi"/>
          <w:color w:val="0F0F0F"/>
          <w:spacing w:val="4"/>
        </w:rPr>
        <w:t>naturale</w:t>
      </w:r>
      <w:proofErr w:type="spellEnd"/>
      <w:r w:rsidRPr="00960C98">
        <w:rPr>
          <w:rFonts w:eastAsiaTheme="minorHAnsi"/>
          <w:color w:val="0F0F0F"/>
          <w:spacing w:val="4"/>
        </w:rPr>
        <w:t>.</w:t>
      </w:r>
    </w:p>
    <w:p w14:paraId="48111397" w14:textId="77777777" w:rsidR="006F2521" w:rsidRDefault="006F2521" w:rsidP="006F2521">
      <w:pPr>
        <w:pStyle w:val="ListParagraph"/>
        <w:ind w:left="1080"/>
      </w:pPr>
    </w:p>
    <w:p w14:paraId="6AEB62A4" w14:textId="1791FD97" w:rsidR="00336439" w:rsidRDefault="00471168">
      <w:r w:rsidRPr="00471168">
        <w:rPr>
          <w:noProof/>
        </w:rPr>
        <w:lastRenderedPageBreak/>
        <w:drawing>
          <wp:inline distT="0" distB="0" distL="0" distR="0" wp14:anchorId="675C8430" wp14:editId="2DBB362D">
            <wp:extent cx="4240020" cy="3317272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6150" cy="332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125C" w14:textId="06F9A6CC" w:rsidR="00471168" w:rsidRDefault="00471168">
      <w:r w:rsidRPr="00471168">
        <w:rPr>
          <w:noProof/>
        </w:rPr>
        <w:drawing>
          <wp:inline distT="0" distB="0" distL="0" distR="0" wp14:anchorId="5873D351" wp14:editId="7B89E860">
            <wp:extent cx="3360080" cy="23122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7603" cy="232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494" w:type="dxa"/>
        <w:tblLook w:val="04A0" w:firstRow="1" w:lastRow="0" w:firstColumn="1" w:lastColumn="0" w:noHBand="0" w:noVBand="1"/>
      </w:tblPr>
      <w:tblGrid>
        <w:gridCol w:w="1156"/>
        <w:gridCol w:w="1053"/>
        <w:gridCol w:w="2921"/>
        <w:gridCol w:w="1620"/>
        <w:gridCol w:w="860"/>
      </w:tblGrid>
      <w:tr w:rsidR="00471168" w:rsidRPr="00471168" w14:paraId="4EE96F36" w14:textId="77777777" w:rsidTr="006F2521">
        <w:trPr>
          <w:trHeight w:val="169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8F9" w14:textId="77777777" w:rsidR="00471168" w:rsidRPr="006F2521" w:rsidRDefault="00471168" w:rsidP="006F2521">
            <w:pPr>
              <w:pStyle w:val="NoSpacing"/>
            </w:pPr>
            <w:r w:rsidRPr="006F2521">
              <w:t>ticker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782D2" w14:textId="77777777" w:rsidR="00471168" w:rsidRPr="006F2521" w:rsidRDefault="00471168" w:rsidP="006F2521">
            <w:pPr>
              <w:pStyle w:val="NoSpacing"/>
            </w:pPr>
            <w:r w:rsidRPr="006F2521">
              <w:t>Risk</w:t>
            </w:r>
          </w:p>
        </w:tc>
        <w:tc>
          <w:tcPr>
            <w:tcW w:w="2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26E29" w14:textId="77777777" w:rsidR="00471168" w:rsidRPr="006F2521" w:rsidRDefault="00471168" w:rsidP="006F2521">
            <w:pPr>
              <w:pStyle w:val="NoSpacing"/>
            </w:pPr>
            <w:r w:rsidRPr="006F2521">
              <w:t>Name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8D363" w14:textId="77777777" w:rsidR="00471168" w:rsidRPr="006F2521" w:rsidRDefault="00471168" w:rsidP="006F2521">
            <w:pPr>
              <w:pStyle w:val="NoSpacing"/>
            </w:pPr>
            <w:r w:rsidRPr="006F2521">
              <w:t>Market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27B85" w14:textId="77777777" w:rsidR="00471168" w:rsidRPr="006F2521" w:rsidRDefault="00471168" w:rsidP="006F2521">
            <w:pPr>
              <w:pStyle w:val="NoSpacing"/>
            </w:pPr>
            <w:r w:rsidRPr="006F2521">
              <w:t>symbol</w:t>
            </w:r>
          </w:p>
        </w:tc>
      </w:tr>
      <w:tr w:rsidR="00471168" w:rsidRPr="00471168" w14:paraId="65F2AACC" w14:textId="77777777" w:rsidTr="006F2521">
        <w:trPr>
          <w:trHeight w:val="169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C58E9" w14:textId="77777777" w:rsidR="00471168" w:rsidRPr="006F2521" w:rsidRDefault="00471168" w:rsidP="006F2521">
            <w:pPr>
              <w:pStyle w:val="NoSpacing"/>
            </w:pPr>
            <w:r w:rsidRPr="006F2521">
              <w:t>COTE.BX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BCADF" w14:textId="77777777" w:rsidR="00471168" w:rsidRPr="006F2521" w:rsidRDefault="00471168" w:rsidP="006F2521">
            <w:pPr>
              <w:pStyle w:val="NoSpacing"/>
            </w:pPr>
            <w:r w:rsidRPr="006F2521">
              <w:t>0.004219</w:t>
            </w:r>
          </w:p>
        </w:tc>
        <w:tc>
          <w:tcPr>
            <w:tcW w:w="2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299F6" w14:textId="77777777" w:rsidR="00471168" w:rsidRPr="006F2521" w:rsidRDefault="00471168" w:rsidP="006F2521">
            <w:pPr>
              <w:pStyle w:val="NoSpacing"/>
            </w:pPr>
            <w:r w:rsidRPr="006F2521">
              <w:t>CONPET SA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9611C" w14:textId="77777777" w:rsidR="00471168" w:rsidRPr="006F2521" w:rsidRDefault="00471168" w:rsidP="006F2521">
            <w:pPr>
              <w:pStyle w:val="NoSpacing"/>
            </w:pPr>
            <w:r w:rsidRPr="006F2521">
              <w:t>BVB Premium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F5AFE" w14:textId="77777777" w:rsidR="00471168" w:rsidRPr="006F2521" w:rsidRDefault="00471168" w:rsidP="006F2521">
            <w:pPr>
              <w:pStyle w:val="NoSpacing"/>
            </w:pPr>
            <w:r w:rsidRPr="006F2521">
              <w:t>COTE</w:t>
            </w:r>
          </w:p>
        </w:tc>
      </w:tr>
      <w:tr w:rsidR="00471168" w:rsidRPr="00471168" w14:paraId="68FCA225" w14:textId="77777777" w:rsidTr="006F2521">
        <w:trPr>
          <w:trHeight w:val="169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F3CF0" w14:textId="77777777" w:rsidR="00471168" w:rsidRPr="006F2521" w:rsidRDefault="00471168" w:rsidP="006F2521">
            <w:pPr>
              <w:pStyle w:val="NoSpacing"/>
            </w:pPr>
            <w:r w:rsidRPr="006F2521">
              <w:t>OIL.BX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17B15" w14:textId="77777777" w:rsidR="00471168" w:rsidRPr="006F2521" w:rsidRDefault="00471168" w:rsidP="006F2521">
            <w:pPr>
              <w:pStyle w:val="NoSpacing"/>
            </w:pPr>
            <w:r w:rsidRPr="006F2521">
              <w:t>0.006055</w:t>
            </w:r>
          </w:p>
        </w:tc>
        <w:tc>
          <w:tcPr>
            <w:tcW w:w="2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BC1CC" w14:textId="77777777" w:rsidR="00471168" w:rsidRPr="006F2521" w:rsidRDefault="00471168" w:rsidP="006F2521">
            <w:pPr>
              <w:pStyle w:val="NoSpacing"/>
            </w:pPr>
            <w:r w:rsidRPr="006F2521">
              <w:t>OIL TERMINAL S.A.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6A1F9" w14:textId="77777777" w:rsidR="00471168" w:rsidRPr="006F2521" w:rsidRDefault="00471168" w:rsidP="006F2521">
            <w:pPr>
              <w:pStyle w:val="NoSpacing"/>
            </w:pPr>
            <w:r w:rsidRPr="006F2521">
              <w:t>BVB Standard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0B8C1" w14:textId="77777777" w:rsidR="00471168" w:rsidRPr="006F2521" w:rsidRDefault="00471168" w:rsidP="006F2521">
            <w:pPr>
              <w:pStyle w:val="NoSpacing"/>
            </w:pPr>
            <w:r w:rsidRPr="006F2521">
              <w:t>OIL</w:t>
            </w:r>
          </w:p>
        </w:tc>
      </w:tr>
      <w:tr w:rsidR="00471168" w:rsidRPr="00471168" w14:paraId="1ADBF9E0" w14:textId="77777777" w:rsidTr="006F2521">
        <w:trPr>
          <w:trHeight w:val="169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56412" w14:textId="77777777" w:rsidR="00471168" w:rsidRPr="006F2521" w:rsidRDefault="00471168" w:rsidP="006F2521">
            <w:pPr>
              <w:pStyle w:val="NoSpacing"/>
            </w:pPr>
            <w:r w:rsidRPr="006F2521">
              <w:t>ROEL.BX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CDF55" w14:textId="77777777" w:rsidR="00471168" w:rsidRPr="006F2521" w:rsidRDefault="00471168" w:rsidP="006F2521">
            <w:pPr>
              <w:pStyle w:val="NoSpacing"/>
            </w:pPr>
            <w:r w:rsidRPr="006F2521">
              <w:t>0.006323</w:t>
            </w:r>
          </w:p>
        </w:tc>
        <w:tc>
          <w:tcPr>
            <w:tcW w:w="2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07CB9" w14:textId="77777777" w:rsidR="00471168" w:rsidRPr="006F2521" w:rsidRDefault="00471168" w:rsidP="006F2521">
            <w:pPr>
              <w:pStyle w:val="NoSpacing"/>
            </w:pPr>
            <w:r w:rsidRPr="006F2521">
              <w:t>S.N. NUCLEARELECTRICA S.A.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D8B92" w14:textId="77777777" w:rsidR="00471168" w:rsidRPr="006F2521" w:rsidRDefault="00471168" w:rsidP="006F2521">
            <w:pPr>
              <w:pStyle w:val="NoSpacing"/>
            </w:pPr>
            <w:r w:rsidRPr="006F2521">
              <w:t>BVB Premium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00E28" w14:textId="77777777" w:rsidR="00471168" w:rsidRPr="006F2521" w:rsidRDefault="00471168" w:rsidP="006F2521">
            <w:pPr>
              <w:pStyle w:val="NoSpacing"/>
            </w:pPr>
            <w:r w:rsidRPr="006F2521">
              <w:t>SNN</w:t>
            </w:r>
          </w:p>
        </w:tc>
      </w:tr>
      <w:tr w:rsidR="00471168" w:rsidRPr="00471168" w14:paraId="7979D8AF" w14:textId="77777777" w:rsidTr="006F2521">
        <w:trPr>
          <w:trHeight w:val="169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DC060" w14:textId="77777777" w:rsidR="00471168" w:rsidRPr="006F2521" w:rsidRDefault="00471168" w:rsidP="006F2521">
            <w:pPr>
              <w:pStyle w:val="NoSpacing"/>
            </w:pPr>
            <w:r w:rsidRPr="006F2521">
              <w:t>ROSNN.BX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9C69E" w14:textId="77777777" w:rsidR="00471168" w:rsidRPr="006F2521" w:rsidRDefault="00471168" w:rsidP="006F2521">
            <w:pPr>
              <w:pStyle w:val="NoSpacing"/>
            </w:pPr>
            <w:r w:rsidRPr="006F2521">
              <w:t>0.005841</w:t>
            </w:r>
          </w:p>
        </w:tc>
        <w:tc>
          <w:tcPr>
            <w:tcW w:w="2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6787" w14:textId="77777777" w:rsidR="00471168" w:rsidRPr="006F2521" w:rsidRDefault="00471168" w:rsidP="006F2521">
            <w:pPr>
              <w:pStyle w:val="NoSpacing"/>
            </w:pPr>
            <w:r w:rsidRPr="006F2521">
              <w:t>SOCIETATEA ENERGETICA ELECTRICA S.A.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16E80" w14:textId="77777777" w:rsidR="00471168" w:rsidRPr="006F2521" w:rsidRDefault="00471168" w:rsidP="006F2521">
            <w:pPr>
              <w:pStyle w:val="NoSpacing"/>
            </w:pPr>
            <w:r w:rsidRPr="006F2521">
              <w:t>BVB Premium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8F0C7" w14:textId="77777777" w:rsidR="00471168" w:rsidRPr="006F2521" w:rsidRDefault="00471168" w:rsidP="006F2521">
            <w:pPr>
              <w:pStyle w:val="NoSpacing"/>
            </w:pPr>
            <w:r w:rsidRPr="006F2521">
              <w:t>EL</w:t>
            </w:r>
          </w:p>
        </w:tc>
      </w:tr>
      <w:tr w:rsidR="00471168" w:rsidRPr="00471168" w14:paraId="6384A076" w14:textId="77777777" w:rsidTr="006F2521">
        <w:trPr>
          <w:trHeight w:val="169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A9BF9" w14:textId="77777777" w:rsidR="00471168" w:rsidRPr="006F2521" w:rsidRDefault="00471168" w:rsidP="006F2521">
            <w:pPr>
              <w:pStyle w:val="NoSpacing"/>
            </w:pPr>
            <w:r w:rsidRPr="006F2521">
              <w:t>ROSNP.BX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E7699" w14:textId="77777777" w:rsidR="00471168" w:rsidRPr="006F2521" w:rsidRDefault="00471168" w:rsidP="006F2521">
            <w:pPr>
              <w:pStyle w:val="NoSpacing"/>
            </w:pPr>
            <w:r w:rsidRPr="006F2521">
              <w:t>0.005209</w:t>
            </w:r>
          </w:p>
        </w:tc>
        <w:tc>
          <w:tcPr>
            <w:tcW w:w="2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8AEF0" w14:textId="77777777" w:rsidR="00471168" w:rsidRPr="006F2521" w:rsidRDefault="00471168" w:rsidP="006F2521">
            <w:pPr>
              <w:pStyle w:val="NoSpacing"/>
            </w:pPr>
            <w:r w:rsidRPr="006F2521">
              <w:t>OMV PETROM S.A.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C017B" w14:textId="77777777" w:rsidR="00471168" w:rsidRPr="006F2521" w:rsidRDefault="00471168" w:rsidP="006F2521">
            <w:pPr>
              <w:pStyle w:val="NoSpacing"/>
            </w:pPr>
            <w:r w:rsidRPr="006F2521">
              <w:t>BVB Premium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1B2CA" w14:textId="77777777" w:rsidR="00471168" w:rsidRPr="006F2521" w:rsidRDefault="00471168" w:rsidP="006F2521">
            <w:pPr>
              <w:pStyle w:val="NoSpacing"/>
            </w:pPr>
            <w:r w:rsidRPr="006F2521">
              <w:t>SNP</w:t>
            </w:r>
          </w:p>
        </w:tc>
      </w:tr>
      <w:tr w:rsidR="00471168" w:rsidRPr="00471168" w14:paraId="3519FAFE" w14:textId="77777777" w:rsidTr="006F2521">
        <w:trPr>
          <w:trHeight w:val="169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CA7BB" w14:textId="77777777" w:rsidR="00471168" w:rsidRPr="006F2521" w:rsidRDefault="00471168" w:rsidP="006F2521">
            <w:pPr>
              <w:pStyle w:val="NoSpacing"/>
            </w:pPr>
            <w:r w:rsidRPr="006F2521">
              <w:t>ROTEL.BX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B9B1B" w14:textId="77777777" w:rsidR="00471168" w:rsidRPr="006F2521" w:rsidRDefault="00471168" w:rsidP="006F2521">
            <w:pPr>
              <w:pStyle w:val="NoSpacing"/>
            </w:pPr>
            <w:r w:rsidRPr="006F2521">
              <w:t>0.004748</w:t>
            </w:r>
          </w:p>
        </w:tc>
        <w:tc>
          <w:tcPr>
            <w:tcW w:w="2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A437D" w14:textId="77777777" w:rsidR="00471168" w:rsidRPr="006F2521" w:rsidRDefault="00471168" w:rsidP="006F2521">
            <w:pPr>
              <w:pStyle w:val="NoSpacing"/>
            </w:pPr>
            <w:r w:rsidRPr="006F2521">
              <w:t>C.N.T.E.E. TRANSELECTRICA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BBC5F" w14:textId="77777777" w:rsidR="00471168" w:rsidRPr="006F2521" w:rsidRDefault="00471168" w:rsidP="006F2521">
            <w:pPr>
              <w:pStyle w:val="NoSpacing"/>
            </w:pPr>
            <w:r w:rsidRPr="006F2521">
              <w:t>BVB Premium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6578F" w14:textId="77777777" w:rsidR="00471168" w:rsidRPr="006F2521" w:rsidRDefault="00471168" w:rsidP="006F2521">
            <w:pPr>
              <w:pStyle w:val="NoSpacing"/>
            </w:pPr>
            <w:r w:rsidRPr="006F2521">
              <w:t>TEL</w:t>
            </w:r>
          </w:p>
        </w:tc>
      </w:tr>
      <w:tr w:rsidR="00471168" w:rsidRPr="00471168" w14:paraId="680529E6" w14:textId="77777777" w:rsidTr="006F2521">
        <w:trPr>
          <w:trHeight w:val="169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EA748" w14:textId="77777777" w:rsidR="00471168" w:rsidRPr="006F2521" w:rsidRDefault="00471168" w:rsidP="006F2521">
            <w:pPr>
              <w:pStyle w:val="NoSpacing"/>
            </w:pPr>
            <w:r w:rsidRPr="006F2521">
              <w:t>SNG.BX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45A28" w14:textId="77777777" w:rsidR="00471168" w:rsidRPr="006F2521" w:rsidRDefault="00471168" w:rsidP="006F2521">
            <w:pPr>
              <w:pStyle w:val="NoSpacing"/>
            </w:pPr>
            <w:r w:rsidRPr="006F2521">
              <w:t>0.004342</w:t>
            </w:r>
          </w:p>
        </w:tc>
        <w:tc>
          <w:tcPr>
            <w:tcW w:w="2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3AB0A" w14:textId="77777777" w:rsidR="00471168" w:rsidRPr="006F2521" w:rsidRDefault="00471168" w:rsidP="006F2521">
            <w:pPr>
              <w:pStyle w:val="NoSpacing"/>
            </w:pPr>
            <w:r w:rsidRPr="006F2521">
              <w:t>S.N.G.N. ROMGAZ S.A.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577DF" w14:textId="77777777" w:rsidR="00471168" w:rsidRPr="006F2521" w:rsidRDefault="00471168" w:rsidP="006F2521">
            <w:pPr>
              <w:pStyle w:val="NoSpacing"/>
            </w:pPr>
            <w:r w:rsidRPr="006F2521">
              <w:t>BVB Premium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48CAA" w14:textId="77777777" w:rsidR="00471168" w:rsidRPr="006F2521" w:rsidRDefault="00471168" w:rsidP="006F2521">
            <w:pPr>
              <w:pStyle w:val="NoSpacing"/>
            </w:pPr>
            <w:r w:rsidRPr="006F2521">
              <w:t>SNG</w:t>
            </w:r>
          </w:p>
        </w:tc>
      </w:tr>
      <w:tr w:rsidR="00471168" w:rsidRPr="00471168" w14:paraId="2754F273" w14:textId="77777777" w:rsidTr="006F2521">
        <w:trPr>
          <w:trHeight w:val="169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55C16" w14:textId="77777777" w:rsidR="00471168" w:rsidRPr="006F2521" w:rsidRDefault="00471168" w:rsidP="006F2521">
            <w:pPr>
              <w:pStyle w:val="NoSpacing"/>
            </w:pPr>
            <w:r w:rsidRPr="006F2521">
              <w:t>TGN.BX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A7151" w14:textId="77777777" w:rsidR="00471168" w:rsidRPr="006F2521" w:rsidRDefault="00471168" w:rsidP="006F2521">
            <w:pPr>
              <w:pStyle w:val="NoSpacing"/>
            </w:pPr>
            <w:r w:rsidRPr="006F2521">
              <w:t>0.003077</w:t>
            </w:r>
          </w:p>
        </w:tc>
        <w:tc>
          <w:tcPr>
            <w:tcW w:w="2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9E22D" w14:textId="77777777" w:rsidR="00471168" w:rsidRPr="006F2521" w:rsidRDefault="00471168" w:rsidP="006F2521">
            <w:pPr>
              <w:pStyle w:val="NoSpacing"/>
            </w:pPr>
            <w:r w:rsidRPr="006F2521">
              <w:t>S.N.T.G.N. TRANSGAZ S.A.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6C991" w14:textId="77777777" w:rsidR="00471168" w:rsidRPr="006F2521" w:rsidRDefault="00471168" w:rsidP="006F2521">
            <w:pPr>
              <w:pStyle w:val="NoSpacing"/>
            </w:pPr>
            <w:r w:rsidRPr="006F2521">
              <w:t>BVB Premium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F84C3" w14:textId="77777777" w:rsidR="00471168" w:rsidRPr="006F2521" w:rsidRDefault="00471168" w:rsidP="006F2521">
            <w:pPr>
              <w:pStyle w:val="NoSpacing"/>
            </w:pPr>
            <w:r w:rsidRPr="006F2521">
              <w:t>TGN</w:t>
            </w:r>
          </w:p>
        </w:tc>
      </w:tr>
    </w:tbl>
    <w:p w14:paraId="32809FF3" w14:textId="379238DE" w:rsidR="00471168" w:rsidRDefault="00471168"/>
    <w:p w14:paraId="44D8B65C" w14:textId="4C2DF620" w:rsidR="00471168" w:rsidRDefault="00471168" w:rsidP="00471168">
      <w:pPr>
        <w:tabs>
          <w:tab w:val="left" w:pos="1725"/>
        </w:tabs>
      </w:pPr>
    </w:p>
    <w:p w14:paraId="3F49EFB3" w14:textId="75E532D2" w:rsidR="00471168" w:rsidRDefault="00471168" w:rsidP="00471168">
      <w:pPr>
        <w:tabs>
          <w:tab w:val="left" w:pos="1725"/>
        </w:tabs>
      </w:pPr>
      <w:r w:rsidRPr="00471168">
        <w:rPr>
          <w:noProof/>
        </w:rPr>
        <w:lastRenderedPageBreak/>
        <w:drawing>
          <wp:inline distT="0" distB="0" distL="0" distR="0" wp14:anchorId="709C73AA" wp14:editId="369EA6A8">
            <wp:extent cx="4851562" cy="3465031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2879" cy="348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9EBE" w14:textId="032E584D" w:rsidR="00471168" w:rsidRDefault="00471168" w:rsidP="00471168">
      <w:pPr>
        <w:tabs>
          <w:tab w:val="left" w:pos="1725"/>
        </w:tabs>
      </w:pPr>
      <w:r w:rsidRPr="00471168">
        <w:rPr>
          <w:noProof/>
        </w:rPr>
        <w:drawing>
          <wp:inline distT="0" distB="0" distL="0" distR="0" wp14:anchorId="0DB25868" wp14:editId="0A22EABD">
            <wp:extent cx="5183821" cy="357606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2901" cy="358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DA9C" w14:textId="0233666E" w:rsidR="00A81241" w:rsidRDefault="00A81241" w:rsidP="00471168">
      <w:pPr>
        <w:tabs>
          <w:tab w:val="left" w:pos="1725"/>
        </w:tabs>
      </w:pPr>
    </w:p>
    <w:p w14:paraId="14B23EBF" w14:textId="1F3326E6" w:rsidR="00A81241" w:rsidRDefault="00A81241" w:rsidP="00471168">
      <w:pPr>
        <w:tabs>
          <w:tab w:val="left" w:pos="1725"/>
        </w:tabs>
      </w:pPr>
      <w:r w:rsidRPr="00A81241">
        <w:rPr>
          <w:noProof/>
        </w:rPr>
        <w:lastRenderedPageBreak/>
        <w:drawing>
          <wp:inline distT="0" distB="0" distL="0" distR="0" wp14:anchorId="79AE1FA2" wp14:editId="63176FC2">
            <wp:extent cx="5505450" cy="2106893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9861" cy="212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13EF" w14:textId="22ABC4DA" w:rsidR="00A81241" w:rsidRDefault="00A81241" w:rsidP="00471168">
      <w:pPr>
        <w:tabs>
          <w:tab w:val="left" w:pos="1725"/>
        </w:tabs>
      </w:pPr>
      <w:r w:rsidRPr="00A81241">
        <w:rPr>
          <w:noProof/>
        </w:rPr>
        <w:drawing>
          <wp:inline distT="0" distB="0" distL="0" distR="0" wp14:anchorId="69BF78FF" wp14:editId="3807EA14">
            <wp:extent cx="5943600" cy="5265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B2E4" w14:textId="0BEA45CB" w:rsidR="00A81241" w:rsidRDefault="00A81241" w:rsidP="006F2521">
      <w:pPr>
        <w:tabs>
          <w:tab w:val="left" w:pos="1725"/>
        </w:tabs>
        <w:jc w:val="center"/>
      </w:pPr>
      <w:r w:rsidRPr="00A81241">
        <w:rPr>
          <w:noProof/>
        </w:rPr>
        <w:lastRenderedPageBreak/>
        <w:drawing>
          <wp:inline distT="0" distB="0" distL="0" distR="0" wp14:anchorId="776C8885" wp14:editId="4E4C7C4E">
            <wp:extent cx="4176932" cy="2836387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7550" cy="284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25BC" w14:textId="2A34B2E9" w:rsidR="00A81241" w:rsidRDefault="00A81241" w:rsidP="00471168">
      <w:pPr>
        <w:tabs>
          <w:tab w:val="left" w:pos="1725"/>
        </w:tabs>
      </w:pPr>
      <w:r w:rsidRPr="00A81241">
        <w:rPr>
          <w:noProof/>
        </w:rPr>
        <w:drawing>
          <wp:inline distT="0" distB="0" distL="0" distR="0" wp14:anchorId="3CA2BDEA" wp14:editId="7117AB1C">
            <wp:extent cx="3145070" cy="16657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9497" cy="167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51DC" w14:textId="099A80B4" w:rsidR="006F2521" w:rsidRDefault="006F2521" w:rsidP="006F2521">
      <w:pPr>
        <w:pStyle w:val="ListParagraph"/>
        <w:numPr>
          <w:ilvl w:val="0"/>
          <w:numId w:val="4"/>
        </w:numPr>
      </w:pPr>
      <w:r>
        <w:t xml:space="preserve">p-value&lt;0.005 =&gt; </w:t>
      </w:r>
      <w:proofErr w:type="spellStart"/>
      <w:r>
        <w:t>frm</w:t>
      </w:r>
      <w:proofErr w:type="spellEnd"/>
      <w:r>
        <w:t xml:space="preserve"> </w:t>
      </w:r>
      <w:proofErr w:type="spellStart"/>
      <w:r>
        <w:t>cauzeaza</w:t>
      </w:r>
      <w:proofErr w:type="spellEnd"/>
      <w:r>
        <w:t xml:space="preserve"> Granger vol (BET Index Volatility)</w:t>
      </w:r>
    </w:p>
    <w:p w14:paraId="29B6DE47" w14:textId="5C1249D7" w:rsidR="00A81241" w:rsidRDefault="00A81241" w:rsidP="00471168">
      <w:pPr>
        <w:tabs>
          <w:tab w:val="left" w:pos="1725"/>
        </w:tabs>
      </w:pPr>
      <w:r w:rsidRPr="00A81241">
        <w:rPr>
          <w:noProof/>
        </w:rPr>
        <w:drawing>
          <wp:inline distT="0" distB="0" distL="0" distR="0" wp14:anchorId="0C911518" wp14:editId="4025D669">
            <wp:extent cx="3471225" cy="170828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0857" cy="171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C241" w14:textId="77777777" w:rsidR="006F2521" w:rsidRDefault="006F2521" w:rsidP="006F2521">
      <w:pPr>
        <w:pStyle w:val="ListParagraph"/>
        <w:numPr>
          <w:ilvl w:val="0"/>
          <w:numId w:val="4"/>
        </w:numPr>
      </w:pPr>
      <w:r>
        <w:t xml:space="preserve">p-value&lt;0.005 =&gt; vol (BET Index Volatility) </w:t>
      </w:r>
      <w:proofErr w:type="spellStart"/>
      <w:r>
        <w:t>cauzeaza</w:t>
      </w:r>
      <w:proofErr w:type="spellEnd"/>
      <w:r>
        <w:t xml:space="preserve"> Granger </w:t>
      </w:r>
      <w:proofErr w:type="spellStart"/>
      <w:r>
        <w:t>frm</w:t>
      </w:r>
      <w:proofErr w:type="spellEnd"/>
    </w:p>
    <w:p w14:paraId="44A7A0FC" w14:textId="77777777" w:rsidR="006F2521" w:rsidRDefault="006F2521" w:rsidP="00471168">
      <w:pPr>
        <w:tabs>
          <w:tab w:val="left" w:pos="1725"/>
        </w:tabs>
      </w:pPr>
    </w:p>
    <w:p w14:paraId="062A1AA1" w14:textId="02F4984C" w:rsidR="00A81241" w:rsidRDefault="00A81241" w:rsidP="00471168">
      <w:pPr>
        <w:tabs>
          <w:tab w:val="left" w:pos="1725"/>
        </w:tabs>
      </w:pPr>
      <w:r w:rsidRPr="00A81241">
        <w:rPr>
          <w:noProof/>
        </w:rPr>
        <w:lastRenderedPageBreak/>
        <w:drawing>
          <wp:inline distT="0" distB="0" distL="0" distR="0" wp14:anchorId="4D1831BC" wp14:editId="401AB6A2">
            <wp:extent cx="3233598" cy="2020999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5143" cy="20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451E" w14:textId="66FAD204" w:rsidR="00A81241" w:rsidRDefault="00A81241" w:rsidP="00471168">
      <w:pPr>
        <w:tabs>
          <w:tab w:val="left" w:pos="1725"/>
        </w:tabs>
      </w:pPr>
    </w:p>
    <w:p w14:paraId="3F57C011" w14:textId="6EED1559" w:rsidR="00A81241" w:rsidRDefault="00A81241" w:rsidP="00471168">
      <w:pPr>
        <w:tabs>
          <w:tab w:val="left" w:pos="1725"/>
        </w:tabs>
      </w:pPr>
      <w:r w:rsidRPr="00A81241">
        <w:rPr>
          <w:noProof/>
        </w:rPr>
        <w:drawing>
          <wp:inline distT="0" distB="0" distL="0" distR="0" wp14:anchorId="23E390C3" wp14:editId="6151A3A4">
            <wp:extent cx="4437622" cy="306935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2463" cy="30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EF85" w14:textId="2DAB6FE8" w:rsidR="00A81241" w:rsidRDefault="00A81241" w:rsidP="00471168">
      <w:pPr>
        <w:tabs>
          <w:tab w:val="left" w:pos="1725"/>
        </w:tabs>
      </w:pPr>
      <w:r w:rsidRPr="00A81241">
        <w:rPr>
          <w:noProof/>
        </w:rPr>
        <w:drawing>
          <wp:inline distT="0" distB="0" distL="0" distR="0" wp14:anchorId="38BCB568" wp14:editId="3C33E380">
            <wp:extent cx="5943600" cy="23348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D8EC" w14:textId="0634ECE7" w:rsidR="00A81241" w:rsidRDefault="00A81241" w:rsidP="00471168">
      <w:pPr>
        <w:tabs>
          <w:tab w:val="left" w:pos="1725"/>
        </w:tabs>
      </w:pPr>
      <w:r w:rsidRPr="00A81241">
        <w:rPr>
          <w:noProof/>
        </w:rPr>
        <w:lastRenderedPageBreak/>
        <w:drawing>
          <wp:inline distT="0" distB="0" distL="0" distR="0" wp14:anchorId="1F2F1959" wp14:editId="3370B74E">
            <wp:extent cx="5943600" cy="5314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0AEC" w14:textId="5EFB4F47" w:rsidR="00A81241" w:rsidRDefault="00A81241" w:rsidP="00471168">
      <w:pPr>
        <w:tabs>
          <w:tab w:val="left" w:pos="1725"/>
        </w:tabs>
      </w:pPr>
      <w:r w:rsidRPr="00A81241">
        <w:rPr>
          <w:noProof/>
        </w:rPr>
        <w:lastRenderedPageBreak/>
        <w:drawing>
          <wp:inline distT="0" distB="0" distL="0" distR="0" wp14:anchorId="0AA9DD45" wp14:editId="75372109">
            <wp:extent cx="5943600" cy="40849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3E1E" w14:textId="389C7DC4" w:rsidR="00A81241" w:rsidRDefault="00A81241" w:rsidP="00471168">
      <w:pPr>
        <w:tabs>
          <w:tab w:val="left" w:pos="1725"/>
        </w:tabs>
      </w:pPr>
      <w:r w:rsidRPr="00A81241">
        <w:rPr>
          <w:noProof/>
        </w:rPr>
        <w:drawing>
          <wp:inline distT="0" distB="0" distL="0" distR="0" wp14:anchorId="6E0FD3AB" wp14:editId="1F7E5288">
            <wp:extent cx="2463638" cy="1269721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6211" cy="128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A470" w14:textId="4883BC99" w:rsidR="00A81241" w:rsidRDefault="00A81241" w:rsidP="00471168">
      <w:pPr>
        <w:tabs>
          <w:tab w:val="left" w:pos="1725"/>
        </w:tabs>
      </w:pPr>
      <w:r w:rsidRPr="00A81241">
        <w:rPr>
          <w:noProof/>
        </w:rPr>
        <w:drawing>
          <wp:inline distT="0" distB="0" distL="0" distR="0" wp14:anchorId="49226FE4" wp14:editId="3256D706">
            <wp:extent cx="2580122" cy="124044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6753" cy="125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4531" w14:textId="77777777" w:rsidR="006F2521" w:rsidRDefault="006F2521" w:rsidP="006F2521">
      <w:pPr>
        <w:pStyle w:val="ListParagraph"/>
        <w:numPr>
          <w:ilvl w:val="0"/>
          <w:numId w:val="4"/>
        </w:numPr>
      </w:pPr>
      <w:r>
        <w:t xml:space="preserve">p-value&gt;0.005 =&gt; </w:t>
      </w:r>
      <w:proofErr w:type="spellStart"/>
      <w:r>
        <w:t>frm</w:t>
      </w:r>
      <w:proofErr w:type="spellEnd"/>
      <w:r>
        <w:t xml:space="preserve"> nu </w:t>
      </w:r>
      <w:proofErr w:type="spellStart"/>
      <w:r>
        <w:t>cauzeaza</w:t>
      </w:r>
      <w:proofErr w:type="spellEnd"/>
      <w:r>
        <w:t xml:space="preserve"> Granger SVI</w:t>
      </w:r>
    </w:p>
    <w:p w14:paraId="49F43860" w14:textId="77777777" w:rsidR="006F2521" w:rsidRDefault="006F2521" w:rsidP="006F2521">
      <w:pPr>
        <w:pStyle w:val="ListParagraph"/>
        <w:numPr>
          <w:ilvl w:val="0"/>
          <w:numId w:val="4"/>
        </w:numPr>
      </w:pPr>
      <w:r>
        <w:t xml:space="preserve">p-value&lt;0.005 =&gt; SVI </w:t>
      </w:r>
      <w:proofErr w:type="spellStart"/>
      <w:r>
        <w:t>cauzeaza</w:t>
      </w:r>
      <w:proofErr w:type="spellEnd"/>
      <w:r>
        <w:t xml:space="preserve"> Granger </w:t>
      </w:r>
      <w:proofErr w:type="spellStart"/>
      <w:r>
        <w:t>frm</w:t>
      </w:r>
      <w:proofErr w:type="spellEnd"/>
    </w:p>
    <w:p w14:paraId="00E71500" w14:textId="77777777" w:rsidR="006F2521" w:rsidRDefault="006F2521" w:rsidP="00471168">
      <w:pPr>
        <w:tabs>
          <w:tab w:val="left" w:pos="1725"/>
        </w:tabs>
      </w:pPr>
    </w:p>
    <w:p w14:paraId="1FB8008C" w14:textId="0FE57D22" w:rsidR="00A81241" w:rsidRDefault="00A81241" w:rsidP="00471168">
      <w:pPr>
        <w:tabs>
          <w:tab w:val="left" w:pos="1725"/>
        </w:tabs>
      </w:pPr>
      <w:r w:rsidRPr="00A81241">
        <w:rPr>
          <w:noProof/>
        </w:rPr>
        <w:lastRenderedPageBreak/>
        <w:drawing>
          <wp:inline distT="0" distB="0" distL="0" distR="0" wp14:anchorId="53DE0CC8" wp14:editId="01A0D20D">
            <wp:extent cx="3698369" cy="23001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1346" cy="231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36D9" w14:textId="4B9A1616" w:rsidR="00A81241" w:rsidRDefault="00A81241" w:rsidP="00471168">
      <w:pPr>
        <w:tabs>
          <w:tab w:val="left" w:pos="1725"/>
        </w:tabs>
      </w:pPr>
      <w:r w:rsidRPr="00A81241">
        <w:rPr>
          <w:noProof/>
        </w:rPr>
        <w:drawing>
          <wp:inline distT="0" distB="0" distL="0" distR="0" wp14:anchorId="6094EC76" wp14:editId="540A3185">
            <wp:extent cx="4181778" cy="174126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7332" cy="174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34B0" w14:textId="54E404FF" w:rsidR="001C2544" w:rsidRDefault="001C2544" w:rsidP="00471168">
      <w:pPr>
        <w:tabs>
          <w:tab w:val="left" w:pos="1725"/>
        </w:tabs>
      </w:pPr>
      <w:r w:rsidRPr="001C2544">
        <w:rPr>
          <w:noProof/>
        </w:rPr>
        <w:drawing>
          <wp:inline distT="0" distB="0" distL="0" distR="0" wp14:anchorId="0CB1AF93" wp14:editId="6E8AD713">
            <wp:extent cx="4222548" cy="2380358"/>
            <wp:effectExtent l="0" t="0" r="6985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5613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89B8" w14:textId="1AC9D492" w:rsidR="001C2544" w:rsidRDefault="001C2544" w:rsidP="00471168">
      <w:pPr>
        <w:tabs>
          <w:tab w:val="left" w:pos="1725"/>
        </w:tabs>
      </w:pPr>
      <w:r w:rsidRPr="001C2544">
        <w:rPr>
          <w:noProof/>
        </w:rPr>
        <w:lastRenderedPageBreak/>
        <w:drawing>
          <wp:inline distT="0" distB="0" distL="0" distR="0" wp14:anchorId="3F26609A" wp14:editId="5DAC9D59">
            <wp:extent cx="4484637" cy="23870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0631" cy="23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ABEC" w14:textId="655CE74A" w:rsidR="001C2544" w:rsidRDefault="001C2544" w:rsidP="00471168">
      <w:pPr>
        <w:tabs>
          <w:tab w:val="left" w:pos="1725"/>
        </w:tabs>
      </w:pPr>
      <w:r w:rsidRPr="001C2544">
        <w:rPr>
          <w:noProof/>
        </w:rPr>
        <w:drawing>
          <wp:inline distT="0" distB="0" distL="0" distR="0" wp14:anchorId="746D489B" wp14:editId="0F0317F1">
            <wp:extent cx="4391450" cy="241992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6570" cy="243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6"/>
        <w:gridCol w:w="989"/>
        <w:gridCol w:w="1010"/>
        <w:gridCol w:w="1560"/>
        <w:gridCol w:w="784"/>
        <w:gridCol w:w="1304"/>
        <w:gridCol w:w="1189"/>
        <w:gridCol w:w="1168"/>
      </w:tblGrid>
      <w:tr w:rsidR="00A54CAD" w14:paraId="5493C0E2" w14:textId="77777777" w:rsidTr="00A54CAD">
        <w:trPr>
          <w:jc w:val="center"/>
        </w:trPr>
        <w:tc>
          <w:tcPr>
            <w:tcW w:w="1346" w:type="dxa"/>
          </w:tcPr>
          <w:p w14:paraId="430F9BBC" w14:textId="77777777" w:rsidR="00A54CAD" w:rsidRDefault="00A54CAD" w:rsidP="007F22C3"/>
        </w:tc>
        <w:tc>
          <w:tcPr>
            <w:tcW w:w="989" w:type="dxa"/>
          </w:tcPr>
          <w:p w14:paraId="48D64806" w14:textId="77777777" w:rsidR="00A54CAD" w:rsidRDefault="00A54CAD" w:rsidP="007F22C3">
            <w:r w:rsidRPr="00F8186D">
              <w:t>LR chi2</w:t>
            </w:r>
          </w:p>
        </w:tc>
        <w:tc>
          <w:tcPr>
            <w:tcW w:w="1010" w:type="dxa"/>
          </w:tcPr>
          <w:p w14:paraId="5F95E804" w14:textId="77777777" w:rsidR="00A54CAD" w:rsidRDefault="00A54CAD" w:rsidP="007F22C3">
            <w:r w:rsidRPr="00F8186D">
              <w:t xml:space="preserve">P-Value </w:t>
            </w:r>
          </w:p>
        </w:tc>
        <w:tc>
          <w:tcPr>
            <w:tcW w:w="1560" w:type="dxa"/>
          </w:tcPr>
          <w:p w14:paraId="14F2D97E" w14:textId="77777777" w:rsidR="00A54CAD" w:rsidRDefault="00A54CAD" w:rsidP="007F22C3">
            <w:proofErr w:type="spellStart"/>
            <w:r>
              <w:t>Coeficienti</w:t>
            </w:r>
            <w:proofErr w:type="spellEnd"/>
            <w:r>
              <w:t xml:space="preserve"> </w:t>
            </w:r>
            <w:proofErr w:type="spellStart"/>
            <w:r>
              <w:t>frm</w:t>
            </w:r>
            <w:proofErr w:type="spellEnd"/>
          </w:p>
        </w:tc>
        <w:tc>
          <w:tcPr>
            <w:tcW w:w="784" w:type="dxa"/>
          </w:tcPr>
          <w:p w14:paraId="438E69CD" w14:textId="77777777" w:rsidR="00A54CAD" w:rsidRDefault="00A54CAD" w:rsidP="007F22C3">
            <w:r w:rsidRPr="00F8186D">
              <w:t>R2</w:t>
            </w:r>
          </w:p>
        </w:tc>
        <w:tc>
          <w:tcPr>
            <w:tcW w:w="1304" w:type="dxa"/>
          </w:tcPr>
          <w:p w14:paraId="497DABB3" w14:textId="77777777" w:rsidR="00A54CAD" w:rsidRDefault="00A54CAD" w:rsidP="007F22C3">
            <w:r>
              <w:t>C Index</w:t>
            </w:r>
          </w:p>
        </w:tc>
        <w:tc>
          <w:tcPr>
            <w:tcW w:w="1189" w:type="dxa"/>
          </w:tcPr>
          <w:p w14:paraId="7530BDC7" w14:textId="77777777" w:rsidR="00A54CAD" w:rsidRPr="00F8186D" w:rsidRDefault="00A54CAD" w:rsidP="007F22C3">
            <w:proofErr w:type="spellStart"/>
            <w:r w:rsidRPr="00F8186D">
              <w:t>Scorul</w:t>
            </w:r>
            <w:proofErr w:type="spellEnd"/>
            <w:r w:rsidRPr="00F8186D">
              <w:t xml:space="preserve"> Brier</w:t>
            </w:r>
          </w:p>
        </w:tc>
        <w:tc>
          <w:tcPr>
            <w:tcW w:w="1168" w:type="dxa"/>
          </w:tcPr>
          <w:p w14:paraId="69ED6DA2" w14:textId="77777777" w:rsidR="00A54CAD" w:rsidRPr="00F8186D" w:rsidRDefault="00A54CAD" w:rsidP="007F22C3">
            <w:r>
              <w:t>AIC</w:t>
            </w:r>
          </w:p>
        </w:tc>
      </w:tr>
      <w:tr w:rsidR="00A54CAD" w14:paraId="2E7670E5" w14:textId="77777777" w:rsidTr="00A54CAD">
        <w:trPr>
          <w:jc w:val="center"/>
        </w:trPr>
        <w:tc>
          <w:tcPr>
            <w:tcW w:w="1346" w:type="dxa"/>
          </w:tcPr>
          <w:p w14:paraId="435B808F" w14:textId="77777777" w:rsidR="00A54CAD" w:rsidRDefault="00A54CAD" w:rsidP="007F22C3">
            <w:r>
              <w:t>Model 1</w:t>
            </w:r>
          </w:p>
        </w:tc>
        <w:tc>
          <w:tcPr>
            <w:tcW w:w="989" w:type="dxa"/>
            <w:shd w:val="clear" w:color="auto" w:fill="BDD6EE" w:themeFill="accent5" w:themeFillTint="66"/>
          </w:tcPr>
          <w:p w14:paraId="285FBB5A" w14:textId="77777777" w:rsidR="00A54CAD" w:rsidRDefault="00A54CAD" w:rsidP="007F22C3">
            <w:r>
              <w:t>8.95</w:t>
            </w:r>
          </w:p>
        </w:tc>
        <w:tc>
          <w:tcPr>
            <w:tcW w:w="1010" w:type="dxa"/>
            <w:shd w:val="clear" w:color="auto" w:fill="BDD6EE" w:themeFill="accent5" w:themeFillTint="66"/>
          </w:tcPr>
          <w:p w14:paraId="7BA33785" w14:textId="77777777" w:rsidR="00A54CAD" w:rsidRDefault="00A54CAD" w:rsidP="007F22C3">
            <w:r>
              <w:t>0.0028</w:t>
            </w:r>
          </w:p>
        </w:tc>
        <w:tc>
          <w:tcPr>
            <w:tcW w:w="1560" w:type="dxa"/>
            <w:shd w:val="clear" w:color="auto" w:fill="auto"/>
          </w:tcPr>
          <w:p w14:paraId="3F95E2A0" w14:textId="77777777" w:rsidR="00A54CAD" w:rsidRDefault="00A54CAD" w:rsidP="007F22C3">
            <w:r>
              <w:t>0.1143</w:t>
            </w:r>
          </w:p>
        </w:tc>
        <w:tc>
          <w:tcPr>
            <w:tcW w:w="784" w:type="dxa"/>
            <w:shd w:val="clear" w:color="auto" w:fill="BDD6EE" w:themeFill="accent5" w:themeFillTint="66"/>
          </w:tcPr>
          <w:p w14:paraId="7423F0F5" w14:textId="77777777" w:rsidR="00A54CAD" w:rsidRDefault="00A54CAD" w:rsidP="007F22C3">
            <w:r>
              <w:t>0.631</w:t>
            </w:r>
          </w:p>
        </w:tc>
        <w:tc>
          <w:tcPr>
            <w:tcW w:w="1304" w:type="dxa"/>
            <w:shd w:val="clear" w:color="auto" w:fill="BDD6EE" w:themeFill="accent5" w:themeFillTint="66"/>
          </w:tcPr>
          <w:p w14:paraId="21DFE93B" w14:textId="77777777" w:rsidR="00A54CAD" w:rsidRDefault="00A54CAD" w:rsidP="007F22C3">
            <w:r>
              <w:t>0.985</w:t>
            </w:r>
          </w:p>
        </w:tc>
        <w:tc>
          <w:tcPr>
            <w:tcW w:w="1189" w:type="dxa"/>
            <w:shd w:val="clear" w:color="auto" w:fill="BDD6EE" w:themeFill="accent5" w:themeFillTint="66"/>
          </w:tcPr>
          <w:p w14:paraId="26034A96" w14:textId="77777777" w:rsidR="00A54CAD" w:rsidRDefault="00A54CAD" w:rsidP="007F22C3">
            <w:r>
              <w:t>0.028</w:t>
            </w:r>
          </w:p>
        </w:tc>
        <w:tc>
          <w:tcPr>
            <w:tcW w:w="1168" w:type="dxa"/>
            <w:shd w:val="clear" w:color="auto" w:fill="BDD6EE" w:themeFill="accent5" w:themeFillTint="66"/>
          </w:tcPr>
          <w:p w14:paraId="67512146" w14:textId="77777777" w:rsidR="00A54CAD" w:rsidRDefault="00A54CAD" w:rsidP="007F22C3">
            <w:r>
              <w:t>10.49</w:t>
            </w:r>
          </w:p>
        </w:tc>
      </w:tr>
      <w:tr w:rsidR="00A54CAD" w14:paraId="626D15C9" w14:textId="77777777" w:rsidTr="00A54CAD">
        <w:trPr>
          <w:jc w:val="center"/>
        </w:trPr>
        <w:tc>
          <w:tcPr>
            <w:tcW w:w="1346" w:type="dxa"/>
          </w:tcPr>
          <w:p w14:paraId="10D5BB57" w14:textId="77777777" w:rsidR="00A54CAD" w:rsidRDefault="00A54CAD" w:rsidP="007F22C3">
            <w:r>
              <w:t>Model 2</w:t>
            </w:r>
          </w:p>
        </w:tc>
        <w:tc>
          <w:tcPr>
            <w:tcW w:w="989" w:type="dxa"/>
            <w:shd w:val="clear" w:color="auto" w:fill="auto"/>
          </w:tcPr>
          <w:p w14:paraId="7280AA48" w14:textId="77777777" w:rsidR="00A54CAD" w:rsidRDefault="00A54CAD" w:rsidP="007F22C3">
            <w:r>
              <w:t>0.19</w:t>
            </w:r>
          </w:p>
        </w:tc>
        <w:tc>
          <w:tcPr>
            <w:tcW w:w="1010" w:type="dxa"/>
            <w:shd w:val="clear" w:color="auto" w:fill="auto"/>
          </w:tcPr>
          <w:p w14:paraId="4D117667" w14:textId="77777777" w:rsidR="00A54CAD" w:rsidRDefault="00A54CAD" w:rsidP="007F22C3">
            <w:r>
              <w:t>0.6657</w:t>
            </w:r>
          </w:p>
        </w:tc>
        <w:tc>
          <w:tcPr>
            <w:tcW w:w="1560" w:type="dxa"/>
            <w:shd w:val="clear" w:color="auto" w:fill="auto"/>
          </w:tcPr>
          <w:p w14:paraId="31F83D23" w14:textId="77777777" w:rsidR="00A54CAD" w:rsidRDefault="00A54CAD" w:rsidP="007F22C3">
            <w:r>
              <w:t>0.7130</w:t>
            </w:r>
          </w:p>
        </w:tc>
        <w:tc>
          <w:tcPr>
            <w:tcW w:w="784" w:type="dxa"/>
            <w:shd w:val="clear" w:color="auto" w:fill="auto"/>
          </w:tcPr>
          <w:p w14:paraId="1B4E3AE3" w14:textId="77777777" w:rsidR="00A54CAD" w:rsidRDefault="00A54CAD" w:rsidP="007F22C3">
            <w:r>
              <w:t>0.015</w:t>
            </w:r>
          </w:p>
        </w:tc>
        <w:tc>
          <w:tcPr>
            <w:tcW w:w="1304" w:type="dxa"/>
            <w:shd w:val="clear" w:color="auto" w:fill="auto"/>
          </w:tcPr>
          <w:p w14:paraId="2335E1C5" w14:textId="77777777" w:rsidR="00A54CAD" w:rsidRDefault="00A54CAD" w:rsidP="007F22C3">
            <w:r>
              <w:t>0.538</w:t>
            </w:r>
          </w:p>
        </w:tc>
        <w:tc>
          <w:tcPr>
            <w:tcW w:w="1189" w:type="dxa"/>
            <w:shd w:val="clear" w:color="auto" w:fill="auto"/>
          </w:tcPr>
          <w:p w14:paraId="65230B18" w14:textId="77777777" w:rsidR="00A54CAD" w:rsidRDefault="00A54CAD" w:rsidP="007F22C3">
            <w:r>
              <w:t>0.054</w:t>
            </w:r>
          </w:p>
        </w:tc>
        <w:tc>
          <w:tcPr>
            <w:tcW w:w="1168" w:type="dxa"/>
            <w:shd w:val="clear" w:color="auto" w:fill="auto"/>
          </w:tcPr>
          <w:p w14:paraId="0C6D9155" w14:textId="77777777" w:rsidR="00A54CAD" w:rsidRDefault="00A54CAD" w:rsidP="007F22C3">
            <w:r>
              <w:t>19.15</w:t>
            </w:r>
          </w:p>
        </w:tc>
      </w:tr>
      <w:tr w:rsidR="00A54CAD" w14:paraId="6B450617" w14:textId="77777777" w:rsidTr="00A54CAD">
        <w:trPr>
          <w:jc w:val="center"/>
        </w:trPr>
        <w:tc>
          <w:tcPr>
            <w:tcW w:w="1346" w:type="dxa"/>
          </w:tcPr>
          <w:p w14:paraId="0DE9AACC" w14:textId="77777777" w:rsidR="00A54CAD" w:rsidRDefault="00A54CAD" w:rsidP="007F22C3">
            <w:r>
              <w:t>Model 3</w:t>
            </w:r>
          </w:p>
        </w:tc>
        <w:tc>
          <w:tcPr>
            <w:tcW w:w="989" w:type="dxa"/>
            <w:shd w:val="clear" w:color="auto" w:fill="auto"/>
          </w:tcPr>
          <w:p w14:paraId="584A015D" w14:textId="77777777" w:rsidR="00A54CAD" w:rsidRDefault="00A54CAD" w:rsidP="007F22C3">
            <w:r>
              <w:t>2.06</w:t>
            </w:r>
          </w:p>
        </w:tc>
        <w:tc>
          <w:tcPr>
            <w:tcW w:w="1010" w:type="dxa"/>
            <w:shd w:val="clear" w:color="auto" w:fill="auto"/>
          </w:tcPr>
          <w:p w14:paraId="2A2341E6" w14:textId="77777777" w:rsidR="00A54CAD" w:rsidRDefault="00A54CAD" w:rsidP="007F22C3">
            <w:r>
              <w:t>0.1517</w:t>
            </w:r>
          </w:p>
        </w:tc>
        <w:tc>
          <w:tcPr>
            <w:tcW w:w="1560" w:type="dxa"/>
            <w:shd w:val="clear" w:color="auto" w:fill="auto"/>
          </w:tcPr>
          <w:p w14:paraId="25A3EAB9" w14:textId="77777777" w:rsidR="00A54CAD" w:rsidRDefault="00A54CAD" w:rsidP="007F22C3">
            <w:r>
              <w:t>0.2254</w:t>
            </w:r>
          </w:p>
        </w:tc>
        <w:tc>
          <w:tcPr>
            <w:tcW w:w="784" w:type="dxa"/>
            <w:shd w:val="clear" w:color="auto" w:fill="auto"/>
          </w:tcPr>
          <w:p w14:paraId="1C7090B4" w14:textId="77777777" w:rsidR="00A54CAD" w:rsidRDefault="00A54CAD" w:rsidP="007F22C3">
            <w:r>
              <w:t>0.163</w:t>
            </w:r>
          </w:p>
        </w:tc>
        <w:tc>
          <w:tcPr>
            <w:tcW w:w="1304" w:type="dxa"/>
            <w:shd w:val="clear" w:color="auto" w:fill="auto"/>
          </w:tcPr>
          <w:p w14:paraId="256C0689" w14:textId="77777777" w:rsidR="00A54CAD" w:rsidRDefault="00A54CAD" w:rsidP="007F22C3">
            <w:r>
              <w:t>0.719</w:t>
            </w:r>
          </w:p>
        </w:tc>
        <w:tc>
          <w:tcPr>
            <w:tcW w:w="1189" w:type="dxa"/>
            <w:shd w:val="clear" w:color="auto" w:fill="auto"/>
          </w:tcPr>
          <w:p w14:paraId="3C4371A3" w14:textId="77777777" w:rsidR="00A54CAD" w:rsidRDefault="00A54CAD" w:rsidP="007F22C3">
            <w:r>
              <w:t>0.051</w:t>
            </w:r>
          </w:p>
        </w:tc>
        <w:tc>
          <w:tcPr>
            <w:tcW w:w="1168" w:type="dxa"/>
            <w:shd w:val="clear" w:color="auto" w:fill="auto"/>
          </w:tcPr>
          <w:p w14:paraId="026B5914" w14:textId="77777777" w:rsidR="00A54CAD" w:rsidRDefault="00A54CAD" w:rsidP="007F22C3">
            <w:r>
              <w:t>17.18</w:t>
            </w:r>
          </w:p>
        </w:tc>
      </w:tr>
      <w:tr w:rsidR="00A54CAD" w14:paraId="370E664F" w14:textId="77777777" w:rsidTr="00A54CAD">
        <w:trPr>
          <w:jc w:val="center"/>
        </w:trPr>
        <w:tc>
          <w:tcPr>
            <w:tcW w:w="1346" w:type="dxa"/>
          </w:tcPr>
          <w:p w14:paraId="5207988B" w14:textId="77777777" w:rsidR="00A54CAD" w:rsidRDefault="00A54CAD" w:rsidP="007F22C3">
            <w:r>
              <w:t>Model 4</w:t>
            </w:r>
          </w:p>
        </w:tc>
        <w:tc>
          <w:tcPr>
            <w:tcW w:w="989" w:type="dxa"/>
            <w:shd w:val="clear" w:color="auto" w:fill="auto"/>
          </w:tcPr>
          <w:p w14:paraId="0873E48A" w14:textId="77777777" w:rsidR="00A54CAD" w:rsidRDefault="00A54CAD" w:rsidP="007F22C3">
            <w:r>
              <w:t>0.91</w:t>
            </w:r>
          </w:p>
        </w:tc>
        <w:tc>
          <w:tcPr>
            <w:tcW w:w="1010" w:type="dxa"/>
            <w:shd w:val="clear" w:color="auto" w:fill="auto"/>
          </w:tcPr>
          <w:p w14:paraId="61134604" w14:textId="77777777" w:rsidR="00A54CAD" w:rsidRDefault="00A54CAD" w:rsidP="007F22C3">
            <w:r>
              <w:t>0.339</w:t>
            </w:r>
          </w:p>
        </w:tc>
        <w:tc>
          <w:tcPr>
            <w:tcW w:w="1560" w:type="dxa"/>
            <w:shd w:val="clear" w:color="auto" w:fill="auto"/>
          </w:tcPr>
          <w:p w14:paraId="3B71F706" w14:textId="77777777" w:rsidR="00A54CAD" w:rsidRDefault="00A54CAD" w:rsidP="007F22C3">
            <w:r>
              <w:t>0.4190</w:t>
            </w:r>
          </w:p>
        </w:tc>
        <w:tc>
          <w:tcPr>
            <w:tcW w:w="784" w:type="dxa"/>
            <w:shd w:val="clear" w:color="auto" w:fill="auto"/>
          </w:tcPr>
          <w:p w14:paraId="1E1E666A" w14:textId="77777777" w:rsidR="00A54CAD" w:rsidRDefault="00A54CAD" w:rsidP="007F22C3">
            <w:r>
              <w:t>0.074</w:t>
            </w:r>
          </w:p>
        </w:tc>
        <w:tc>
          <w:tcPr>
            <w:tcW w:w="1304" w:type="dxa"/>
            <w:shd w:val="clear" w:color="auto" w:fill="auto"/>
          </w:tcPr>
          <w:p w14:paraId="0F4BC40E" w14:textId="77777777" w:rsidR="00A54CAD" w:rsidRDefault="00A54CAD" w:rsidP="007F22C3">
            <w:r>
              <w:t>0.726</w:t>
            </w:r>
          </w:p>
        </w:tc>
        <w:tc>
          <w:tcPr>
            <w:tcW w:w="1189" w:type="dxa"/>
            <w:shd w:val="clear" w:color="auto" w:fill="auto"/>
          </w:tcPr>
          <w:p w14:paraId="68AD14DD" w14:textId="77777777" w:rsidR="00A54CAD" w:rsidRDefault="00A54CAD" w:rsidP="007F22C3">
            <w:r>
              <w:t>0.056</w:t>
            </w:r>
          </w:p>
        </w:tc>
        <w:tc>
          <w:tcPr>
            <w:tcW w:w="1168" w:type="dxa"/>
            <w:shd w:val="clear" w:color="auto" w:fill="auto"/>
          </w:tcPr>
          <w:p w14:paraId="530662F0" w14:textId="77777777" w:rsidR="00A54CAD" w:rsidRDefault="00A54CAD" w:rsidP="007F22C3">
            <w:r>
              <w:t>18.18</w:t>
            </w:r>
          </w:p>
        </w:tc>
      </w:tr>
    </w:tbl>
    <w:p w14:paraId="3821F4D3" w14:textId="77777777" w:rsidR="00AF7779" w:rsidRDefault="00AF7779" w:rsidP="00471168">
      <w:pPr>
        <w:tabs>
          <w:tab w:val="left" w:pos="1725"/>
        </w:tabs>
      </w:pPr>
    </w:p>
    <w:p w14:paraId="19F5F40D" w14:textId="76595A47" w:rsidR="001C2544" w:rsidRDefault="001C2544" w:rsidP="00471168">
      <w:pPr>
        <w:tabs>
          <w:tab w:val="left" w:pos="1725"/>
        </w:tabs>
      </w:pPr>
      <w:r w:rsidRPr="001C2544">
        <w:rPr>
          <w:noProof/>
        </w:rPr>
        <w:drawing>
          <wp:inline distT="0" distB="0" distL="0" distR="0" wp14:anchorId="45F73CF0" wp14:editId="26B9EC3B">
            <wp:extent cx="1560887" cy="1340679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68988" cy="134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5F6F" w14:textId="654C1265" w:rsidR="001C2544" w:rsidRDefault="001C2544" w:rsidP="00471168">
      <w:pPr>
        <w:tabs>
          <w:tab w:val="left" w:pos="1725"/>
        </w:tabs>
      </w:pPr>
      <w:r w:rsidRPr="001C2544">
        <w:rPr>
          <w:noProof/>
        </w:rPr>
        <w:lastRenderedPageBreak/>
        <w:drawing>
          <wp:inline distT="0" distB="0" distL="0" distR="0" wp14:anchorId="37F66F05" wp14:editId="7D45696F">
            <wp:extent cx="4519582" cy="1464036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37465" cy="146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9059" w14:textId="6594745D" w:rsidR="001C2544" w:rsidRDefault="001C2544" w:rsidP="00471168">
      <w:pPr>
        <w:tabs>
          <w:tab w:val="left" w:pos="1725"/>
        </w:tabs>
      </w:pPr>
      <w:r w:rsidRPr="001C2544">
        <w:rPr>
          <w:noProof/>
        </w:rPr>
        <w:drawing>
          <wp:inline distT="0" distB="0" distL="0" distR="0" wp14:anchorId="047DBDAA" wp14:editId="20E6DC0E">
            <wp:extent cx="4537055" cy="1483268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66437" cy="149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7907" w14:textId="77777777" w:rsidR="00A54CAD" w:rsidRDefault="00A54CAD" w:rsidP="00A54CAD">
      <w:pPr>
        <w:pStyle w:val="ListParagraph"/>
        <w:numPr>
          <w:ilvl w:val="0"/>
          <w:numId w:val="2"/>
        </w:numPr>
      </w:pPr>
      <w:r w:rsidRPr="008018D1">
        <w:t xml:space="preserve">un AIC </w:t>
      </w:r>
      <w:proofErr w:type="spellStart"/>
      <w:r w:rsidRPr="008018D1">
        <w:t>mai</w:t>
      </w:r>
      <w:proofErr w:type="spellEnd"/>
      <w:r w:rsidRPr="008018D1">
        <w:t xml:space="preserve"> mic </w:t>
      </w:r>
      <w:proofErr w:type="spellStart"/>
      <w:r w:rsidRPr="008018D1">
        <w:t>indică</w:t>
      </w:r>
      <w:proofErr w:type="spellEnd"/>
      <w:r w:rsidRPr="008018D1">
        <w:t xml:space="preserve"> un model </w:t>
      </w:r>
      <w:proofErr w:type="spellStart"/>
      <w:r w:rsidRPr="008018D1">
        <w:t>mai</w:t>
      </w:r>
      <w:proofErr w:type="spellEnd"/>
      <w:r w:rsidRPr="008018D1">
        <w:t xml:space="preserve"> </w:t>
      </w:r>
      <w:proofErr w:type="spellStart"/>
      <w:r w:rsidRPr="008018D1">
        <w:t>preferabil</w:t>
      </w:r>
      <w:proofErr w:type="spellEnd"/>
    </w:p>
    <w:p w14:paraId="38A5E38D" w14:textId="455A55D3" w:rsidR="00A54CAD" w:rsidRDefault="00A54CAD" w:rsidP="00A54CAD">
      <w:pPr>
        <w:pStyle w:val="ListParagraph"/>
        <w:numPr>
          <w:ilvl w:val="0"/>
          <w:numId w:val="1"/>
        </w:numPr>
      </w:pPr>
      <w:r>
        <w:t>AIC: 10.5 (model 6)</w:t>
      </w:r>
      <w:bookmarkStart w:id="0" w:name="_GoBack"/>
      <w:bookmarkEnd w:id="0"/>
    </w:p>
    <w:p w14:paraId="0B40F472" w14:textId="2883B092" w:rsidR="00A54CAD" w:rsidRDefault="00C37375" w:rsidP="00471168">
      <w:pPr>
        <w:tabs>
          <w:tab w:val="left" w:pos="1725"/>
        </w:tabs>
      </w:pPr>
      <w:r w:rsidRPr="00C37375">
        <w:rPr>
          <w:noProof/>
        </w:rPr>
        <w:drawing>
          <wp:inline distT="0" distB="0" distL="0" distR="0" wp14:anchorId="7C497923" wp14:editId="29B91CC4">
            <wp:extent cx="2276793" cy="45726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4981" w14:textId="77777777" w:rsidR="00D428AC" w:rsidRPr="00CB5235" w:rsidRDefault="00D428AC" w:rsidP="00D428AC">
      <w:pPr>
        <w:ind w:firstLine="720"/>
      </w:pPr>
      <w:r>
        <w:t>MODEL LRM</w:t>
      </w:r>
    </w:p>
    <w:p w14:paraId="5F19A3AF" w14:textId="20CDEB91" w:rsidR="007B35BF" w:rsidRDefault="00CE459B" w:rsidP="00471168">
      <w:pPr>
        <w:tabs>
          <w:tab w:val="left" w:pos="1725"/>
        </w:tabs>
      </w:pPr>
      <w:r w:rsidRPr="00CE459B">
        <w:rPr>
          <w:noProof/>
        </w:rPr>
        <w:drawing>
          <wp:inline distT="0" distB="0" distL="0" distR="0" wp14:anchorId="62F5CD32" wp14:editId="737313DD">
            <wp:extent cx="5943600" cy="32283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CAE8" w14:textId="3CA91BC2" w:rsidR="00CE459B" w:rsidRDefault="00CE459B" w:rsidP="00471168">
      <w:pPr>
        <w:tabs>
          <w:tab w:val="left" w:pos="1725"/>
        </w:tabs>
      </w:pPr>
      <w:r w:rsidRPr="00CE459B">
        <w:rPr>
          <w:noProof/>
        </w:rPr>
        <w:lastRenderedPageBreak/>
        <w:drawing>
          <wp:inline distT="0" distB="0" distL="0" distR="0" wp14:anchorId="604759A5" wp14:editId="6C8EC85A">
            <wp:extent cx="5943600" cy="40963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AD14" w14:textId="4B94558A" w:rsidR="00CE459B" w:rsidRDefault="00CE459B" w:rsidP="00471168">
      <w:pPr>
        <w:tabs>
          <w:tab w:val="left" w:pos="1725"/>
        </w:tabs>
      </w:pPr>
      <w:r w:rsidRPr="00CE459B">
        <w:rPr>
          <w:noProof/>
        </w:rPr>
        <w:lastRenderedPageBreak/>
        <w:drawing>
          <wp:inline distT="0" distB="0" distL="0" distR="0" wp14:anchorId="72DFEC23" wp14:editId="68241707">
            <wp:extent cx="5943600" cy="410464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5B7D" w14:textId="5096CFD2" w:rsidR="00CE459B" w:rsidRDefault="00CE459B" w:rsidP="00471168">
      <w:pPr>
        <w:tabs>
          <w:tab w:val="left" w:pos="1725"/>
        </w:tabs>
      </w:pPr>
      <w:r>
        <w:t>MODEL GLM</w:t>
      </w:r>
    </w:p>
    <w:p w14:paraId="44AF8E0B" w14:textId="5ACC8FBA" w:rsidR="00CE459B" w:rsidRDefault="00CE459B" w:rsidP="00471168">
      <w:pPr>
        <w:tabs>
          <w:tab w:val="left" w:pos="1725"/>
        </w:tabs>
      </w:pPr>
      <w:r w:rsidRPr="00CE459B">
        <w:rPr>
          <w:noProof/>
        </w:rPr>
        <w:drawing>
          <wp:inline distT="0" distB="0" distL="0" distR="0" wp14:anchorId="7F759819" wp14:editId="7BB49BDE">
            <wp:extent cx="5943600" cy="315468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CAFA" w14:textId="1EFAC178" w:rsidR="00CE459B" w:rsidRDefault="00CE459B" w:rsidP="00471168">
      <w:pPr>
        <w:tabs>
          <w:tab w:val="left" w:pos="1725"/>
        </w:tabs>
      </w:pPr>
      <w:r w:rsidRPr="00CE459B">
        <w:rPr>
          <w:noProof/>
        </w:rPr>
        <w:lastRenderedPageBreak/>
        <w:drawing>
          <wp:inline distT="0" distB="0" distL="0" distR="0" wp14:anchorId="05AD8C58" wp14:editId="5204D8B7">
            <wp:extent cx="5943600" cy="383794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DC08" w14:textId="1F603C21" w:rsidR="00CE459B" w:rsidRPr="00471168" w:rsidRDefault="00CE459B" w:rsidP="00471168">
      <w:pPr>
        <w:tabs>
          <w:tab w:val="left" w:pos="1725"/>
        </w:tabs>
      </w:pPr>
      <w:r w:rsidRPr="00CE459B">
        <w:rPr>
          <w:noProof/>
        </w:rPr>
        <w:drawing>
          <wp:inline distT="0" distB="0" distL="0" distR="0" wp14:anchorId="49EF7BE1" wp14:editId="7F2BC223">
            <wp:extent cx="5943600" cy="36804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59B" w:rsidRPr="00471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1058F"/>
    <w:multiLevelType w:val="hybridMultilevel"/>
    <w:tmpl w:val="85F0B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F51E1"/>
    <w:multiLevelType w:val="hybridMultilevel"/>
    <w:tmpl w:val="E7068038"/>
    <w:lvl w:ilvl="0" w:tplc="7C924900">
      <w:start w:val="1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C20B65"/>
    <w:multiLevelType w:val="hybridMultilevel"/>
    <w:tmpl w:val="9B9A1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F0C97"/>
    <w:multiLevelType w:val="hybridMultilevel"/>
    <w:tmpl w:val="F5F2F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439"/>
    <w:rsid w:val="001C2544"/>
    <w:rsid w:val="00336439"/>
    <w:rsid w:val="00471168"/>
    <w:rsid w:val="006F2521"/>
    <w:rsid w:val="007B35BF"/>
    <w:rsid w:val="00A54CAD"/>
    <w:rsid w:val="00A81241"/>
    <w:rsid w:val="00AF7779"/>
    <w:rsid w:val="00C37375"/>
    <w:rsid w:val="00CE459B"/>
    <w:rsid w:val="00D4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31DD"/>
  <w15:chartTrackingRefBased/>
  <w15:docId w15:val="{5F8B636C-3274-4E9C-A655-483B82064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11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16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F7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4CA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F2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F25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8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Pages>14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Ramona Marin</dc:creator>
  <cp:keywords/>
  <dc:description/>
  <cp:lastModifiedBy>Ramona Marin</cp:lastModifiedBy>
  <cp:revision>4</cp:revision>
  <dcterms:created xsi:type="dcterms:W3CDTF">2024-04-07T05:26:00Z</dcterms:created>
  <dcterms:modified xsi:type="dcterms:W3CDTF">2024-04-10T07:55:00Z</dcterms:modified>
</cp:coreProperties>
</file>