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贴心文案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1.总部选址评估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市场调研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投资测算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2.发布项目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确定加盟商组成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3.勘址审核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4.签署加盟合同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按约定时间缴纳合同款项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5.证照申办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装修施工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6.运营管理人员到位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招聘、培训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开业方案制定及宣传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投资模型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注：①单机收入：日总上网收入/台数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②上座率：日总上网收入/每小时上网费用/台数/24小时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③单机分红：年度总利润/机器台数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④单机投入：总筹建成本/机器台数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⑤回本周期：筹建成本/年分红金额*12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⑥年化回报率以三年投资期计算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加盟优势：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免加盟费，降低的前期资金投入压力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全免的游戏赛事推广资源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配套网红直播推广资源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定制级电竞外设及超一流电脑设备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极具效果的年化收益 33%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认同云猫网络体验馆的文化，共同发展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具有沉稳的个人态度，认同创新精神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没有犯罪记录，无大额负债记录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财力条件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加盟热线申请中~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11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2016-09-28T08:29:35Z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