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Borders>
          <w:top w:val="single" w:sz="16" w:space="0" w:color="000000"/>
          <w:left w:val="single" w:sz="16" w:space="0" w:color="000000"/>
          <w:bottom w:val="single" w:sz="16" w:space="0" w:color="000000"/>
          <w:right w:val="single" w:sz="16" w:space="0" w:color="000000"/>
          <w:insideH w:val="single" w:sz="6" w:space="0" w:color="000000"/>
          <w:insideV w:val="single" w:sz="6" w:space="0" w:color="000000"/>
        </w:tblBorders>
      </w:tblPr>
      <w:tblGrid>
        <w:gridCol w:w="2074"/>
        <w:gridCol w:w="6566"/>
      </w:tblGrid>
      <w:tr>
        <w:trPr>
          <w:trHeight w:val="1800" w:hRule="exact"/>
        </w:trPr>
        <w:tc>
          <w:tcPr>
            <w:tcW w:type="dxa" w:w="8640"/>
            <w:gridSpan w:val="2"/>
            <w:tcMar>
              <w:top w:w="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5486400" cy="838033"/>
                  <wp:docPr id="1" name="Picture 1"/>
                  <wp:cNvGraphicFramePr>
                    <a:graphicFrameLocks noChangeAspect="1"/>
                  </wp:cNvGraphicFramePr>
                  <a:graphic>
                    <a:graphicData uri="http://schemas.openxmlformats.org/drawingml/2006/picture">
                      <pic:pic>
                        <pic:nvPicPr>
                          <pic:cNvPr id="0" name="Header Image.png"/>
                          <pic:cNvPicPr/>
                        </pic:nvPicPr>
                        <pic:blipFill>
                          <a:blip r:embed="rId9"/>
                          <a:stretch>
                            <a:fillRect/>
                          </a:stretch>
                        </pic:blipFill>
                        <pic:spPr>
                          <a:xfrm>
                            <a:off x="0" y="0"/>
                            <a:ext cx="5486400" cy="838033"/>
                          </a:xfrm>
                          <a:prstGeom prst="rect"/>
                        </pic:spPr>
                      </pic:pic>
                    </a:graphicData>
                  </a:graphic>
                </wp:inline>
              </w:drawing>
            </w:r>
          </w:p>
          <w:p>
            <w:pPr>
              <w:spacing w:before="60" w:after="0"/>
              <w:jc w:val="right"/>
            </w:pPr>
            <w:r>
              <w:rPr>
                <w:sz w:val="16"/>
                <w:u w:val="single"/>
              </w:rPr>
              <w:t>Ref:TIA240426 - 01</w:t>
            </w:r>
          </w:p>
        </w:tc>
      </w:tr>
      <w:tr>
        <w:trPr>
          <w:trHeight w:val="547" w:hRule="exact"/>
        </w:trPr>
        <w:tc>
          <w:tcPr>
            <w:tcW w:type="dxa" w:w="8640"/>
            <w:gridSpan w:val="2"/>
            <w:tcMar>
              <w:top w:w="50" w:type="dxa"/>
              <w:bottom w:w="50" w:type="dxa"/>
              <w:left w:w="80" w:type="dxa"/>
              <w:right w:w="80" w:type="dxa"/>
            </w:tcMar>
          </w:tcPr>
          <w:p>
            <w:pPr>
              <w:spacing w:before="0" w:after="0"/>
              <w:jc w:val="center"/>
            </w:pPr>
            <w:r>
              <w:rPr>
                <w:b/>
                <w:sz w:val="28"/>
              </w:rPr>
              <w:t>Bitwarden CLI npm package compromised to steal developer credentials</w:t>
            </w:r>
          </w:p>
        </w:tc>
      </w:tr>
      <w:tr>
        <w:trPr>
          <w:trHeight w:val="3672" w:hRule="exact"/>
        </w:trPr>
        <w:tc>
          <w:tcPr>
            <w:tcW w:type="dxa" w:w="2074"/>
          </w:tcPr>
          <w:p>
            <w:r/>
          </w:p>
        </w:tc>
        <w:tc>
          <w:tcPr>
            <w:tcW w:type="dxa" w:w="6566"/>
          </w:tcPr>
          <w:p>
            <w:r/>
          </w:p>
        </w:tc>
      </w:tr>
      <w:tr>
        <w:tc>
          <w:tcPr>
            <w:tcW w:type="dxa" w:w="2074"/>
            <w:tcMar>
              <w:top w:w="70" w:type="dxa"/>
              <w:bottom w:w="70" w:type="dxa"/>
              <w:left w:w="100" w:type="dxa"/>
              <w:right w:w="100" w:type="dxa"/>
            </w:tcMar>
          </w:tcPr>
          <w:p>
            <w:pPr>
              <w:spacing w:before="20" w:after="20"/>
            </w:pPr>
            <w:r>
              <w:rPr>
                <w:b/>
              </w:rPr>
              <w:t>Overview</w:t>
            </w:r>
          </w:p>
        </w:tc>
        <w:tc>
          <w:tcPr>
            <w:tcW w:type="dxa" w:w="6566"/>
            <w:tcMar>
              <w:top w:w="70" w:type="dxa"/>
              <w:bottom w:w="70" w:type="dxa"/>
              <w:left w:w="100" w:type="dxa"/>
              <w:right w:w="100" w:type="dxa"/>
            </w:tcMar>
          </w:tcPr>
          <w:p>
            <w:r>
              <w:t>The Bitwarden CLI was briefly compromised after attackers uploaded a malicious @bitwarden/cli package to npm containing a credential-stealing payload capable of spreading to other projects. According to reports by Socket , JFrog , and OX Security , the malicious package was distributed as version 2026.4.0 and remained available between 5:57 PM and 7:30 PM ET on April 22, 2026, before being removed. Bitwarden confirmed the incident, stating that the breach affected only its npm distribution channel for the CLI npm package and only those who downloaded the malicious version. "The investigation found no evidence that end user vault data was accessed or at risk, or that production data or production systems were compromised.</w:t>
            </w:r>
          </w:p>
        </w:tc>
      </w:tr>
      <w:tr>
        <w:tc>
          <w:tcPr>
            <w:tcW w:type="dxa" w:w="2074"/>
            <w:tcMar>
              <w:top w:w="70" w:type="dxa"/>
              <w:bottom w:w="70" w:type="dxa"/>
              <w:left w:w="100" w:type="dxa"/>
              <w:right w:w="100" w:type="dxa"/>
            </w:tcMar>
          </w:tcPr>
          <w:p>
            <w:pPr>
              <w:spacing w:before="20" w:after="20"/>
            </w:pPr>
            <w:r>
              <w:rPr>
                <w:b/>
              </w:rPr>
              <w:t>Threat Severity</w:t>
            </w:r>
          </w:p>
        </w:tc>
        <w:tc>
          <w:tcPr>
            <w:tcW w:type="dxa" w:w="6566"/>
            <w:tcMar>
              <w:top w:w="70" w:type="dxa"/>
              <w:bottom w:w="70" w:type="dxa"/>
              <w:left w:w="100" w:type="dxa"/>
              <w:right w:w="100" w:type="dxa"/>
            </w:tcMar>
          </w:tcPr>
          <w:p>
            <w:r>
              <w:rPr>
                <w:b/>
                <w:color w:val="FF0000"/>
              </w:rPr>
              <w:t>High</w:t>
            </w:r>
          </w:p>
        </w:tc>
      </w:tr>
      <w:tr>
        <w:tc>
          <w:tcPr>
            <w:tcW w:type="dxa" w:w="2074"/>
            <w:tcMar>
              <w:top w:w="70" w:type="dxa"/>
              <w:bottom w:w="70" w:type="dxa"/>
              <w:left w:w="100" w:type="dxa"/>
              <w:right w:w="100" w:type="dxa"/>
            </w:tcMar>
          </w:tcPr>
          <w:p>
            <w:pPr>
              <w:spacing w:before="20" w:after="20"/>
            </w:pPr>
            <w:r>
              <w:rPr>
                <w:b/>
              </w:rPr>
              <w:t>Targeted Region</w:t>
            </w:r>
          </w:p>
        </w:tc>
        <w:tc>
          <w:tcPr>
            <w:tcW w:type="dxa" w:w="6566"/>
            <w:tcMar>
              <w:top w:w="70" w:type="dxa"/>
              <w:bottom w:w="70" w:type="dxa"/>
              <w:left w:w="100" w:type="dxa"/>
              <w:right w:w="100" w:type="dxa"/>
            </w:tcMar>
          </w:tcPr>
          <w:p>
            <w:r>
              <w:t>Global (inferred)</w:t>
            </w:r>
          </w:p>
        </w:tc>
      </w:tr>
      <w:tr>
        <w:tc>
          <w:tcPr>
            <w:tcW w:type="dxa" w:w="2074"/>
            <w:tcMar>
              <w:top w:w="70" w:type="dxa"/>
              <w:bottom w:w="70" w:type="dxa"/>
              <w:left w:w="100" w:type="dxa"/>
              <w:right w:w="100" w:type="dxa"/>
            </w:tcMar>
          </w:tcPr>
          <w:p>
            <w:pPr>
              <w:spacing w:before="20" w:after="20"/>
            </w:pPr>
            <w:r>
              <w:rPr>
                <w:b/>
              </w:rPr>
              <w:t>Targeted Sector</w:t>
            </w:r>
          </w:p>
        </w:tc>
        <w:tc>
          <w:tcPr>
            <w:tcW w:type="dxa" w:w="6566"/>
            <w:tcMar>
              <w:top w:w="70" w:type="dxa"/>
              <w:bottom w:w="70" w:type="dxa"/>
              <w:left w:w="100" w:type="dxa"/>
              <w:right w:w="100" w:type="dxa"/>
            </w:tcMar>
          </w:tcPr>
          <w:p>
            <w:r>
              <w:t>Multiple Sectors (inferred)</w:t>
            </w:r>
          </w:p>
        </w:tc>
      </w:tr>
      <w:tr>
        <w:tc>
          <w:tcPr>
            <w:tcW w:type="dxa" w:w="2074"/>
            <w:tcMar>
              <w:top w:w="70" w:type="dxa"/>
              <w:bottom w:w="70" w:type="dxa"/>
              <w:left w:w="100" w:type="dxa"/>
              <w:right w:w="100" w:type="dxa"/>
            </w:tcMar>
          </w:tcPr>
          <w:p>
            <w:pPr>
              <w:spacing w:before="20" w:after="20"/>
            </w:pPr>
            <w:r>
              <w:rPr>
                <w:b/>
              </w:rPr>
              <w:t>Attack Vector</w:t>
            </w:r>
          </w:p>
        </w:tc>
        <w:tc>
          <w:tcPr>
            <w:tcW w:type="dxa" w:w="6566"/>
            <w:tcMar>
              <w:top w:w="70" w:type="dxa"/>
              <w:bottom w:w="70" w:type="dxa"/>
              <w:left w:w="100" w:type="dxa"/>
              <w:right w:w="100" w:type="dxa"/>
            </w:tcMar>
          </w:tcPr>
          <w:p/>
          <w:p>
            <w:pPr>
              <w:pStyle w:val="ListBullet"/>
            </w:pPr>
            <w:r>
              <w:rPr>
                <w:b/>
              </w:rPr>
              <w:t xml:space="preserve">Initial Access: </w:t>
            </w:r>
            <w:r>
              <w:t>Adversary gains entry using exposed remote access, stolen credentials, or social engineering.</w:t>
            </w:r>
          </w:p>
          <w:p>
            <w:pPr>
              <w:pStyle w:val="ListBullet"/>
            </w:pPr>
            <w:r>
              <w:rPr>
                <w:b/>
              </w:rPr>
              <w:t xml:space="preserve">Lateral Movement: </w:t>
            </w:r>
            <w:r>
              <w:t>Threat propagates across systems and administrative trust paths.</w:t>
            </w:r>
          </w:p>
          <w:p>
            <w:pPr>
              <w:pStyle w:val="ListBullet"/>
            </w:pPr>
            <w:r>
              <w:rPr>
                <w:b/>
              </w:rPr>
              <w:t xml:space="preserve">Execution: </w:t>
            </w:r>
            <w:r>
              <w:t>Native scripting and command interpreters are used to launch malicious actions.</w:t>
            </w:r>
          </w:p>
          <w:p>
            <w:pPr>
              <w:pStyle w:val="ListBullet"/>
            </w:pPr>
            <w:r>
              <w:rPr>
                <w:b/>
              </w:rPr>
              <w:t xml:space="preserve">Payload Delivery: </w:t>
            </w:r>
            <w:r>
              <w:t>Ransomware payload is executed to encrypt data and disrupt operations.</w:t>
            </w:r>
          </w:p>
        </w:tc>
      </w:tr>
      <w:tr>
        <w:tc>
          <w:tcPr>
            <w:tcW w:type="dxa" w:w="2074"/>
            <w:tcMar>
              <w:top w:w="70" w:type="dxa"/>
              <w:bottom w:w="70" w:type="dxa"/>
              <w:left w:w="100" w:type="dxa"/>
              <w:right w:w="100" w:type="dxa"/>
            </w:tcMar>
          </w:tcPr>
          <w:p>
            <w:pPr>
              <w:spacing w:before="20" w:after="20"/>
            </w:pPr>
            <w:r>
              <w:rPr>
                <w:b/>
              </w:rPr>
              <w:t>Attack Technique</w:t>
            </w:r>
          </w:p>
        </w:tc>
        <w:tc>
          <w:tcPr>
            <w:tcW w:type="dxa" w:w="6566"/>
            <w:tcMar>
              <w:top w:w="70" w:type="dxa"/>
              <w:bottom w:w="70" w:type="dxa"/>
              <w:left w:w="100" w:type="dxa"/>
              <w:right w:w="100" w:type="dxa"/>
            </w:tcMar>
          </w:tcPr>
          <w:p/>
          <w:p>
            <w:r>
              <w:t>The threat follows a coordinated multi-stage workflow where attackers establish access, execute payloads, and inhibit recovery capabilities to maximize impact.</w:t>
            </w:r>
          </w:p>
          <w:p>
            <w:r>
              <w:t>Observed tradecraft includes use of native administration tools, selective service disruption, and encryption routines that impair business continuity.</w:t>
            </w:r>
          </w:p>
          <w:p>
            <w:r>
              <w:t>Campaign behavior suggests deliberate operator control with extortion-driven objectives and persistence through operational disruption.</w:t>
            </w:r>
          </w:p>
        </w:tc>
      </w:tr>
      <w:tr>
        <w:tc>
          <w:tcPr>
            <w:tcW w:type="dxa" w:w="2074"/>
            <w:tcMar>
              <w:top w:w="70" w:type="dxa"/>
              <w:bottom w:w="70" w:type="dxa"/>
              <w:left w:w="100" w:type="dxa"/>
              <w:right w:w="100" w:type="dxa"/>
            </w:tcMar>
          </w:tcPr>
          <w:p>
            <w:pPr>
              <w:spacing w:before="20" w:after="20"/>
            </w:pPr>
            <w:r>
              <w:rPr>
                <w:b/>
              </w:rPr>
              <w:t>MITRE ATT&amp;CK Technique</w:t>
            </w:r>
          </w:p>
        </w:tc>
        <w:tc>
          <w:tcPr>
            <w:tcW w:type="dxa" w:w="6566"/>
            <w:tcMar>
              <w:top w:w="70" w:type="dxa"/>
              <w:bottom w:w="70" w:type="dxa"/>
              <w:left w:w="100" w:type="dxa"/>
              <w:right w:w="100" w:type="dxa"/>
            </w:tcMar>
          </w:tcPr>
          <w:p/>
          <w:tbl>
            <w:tblPr>
              <w:tblStyle w:val="TableGrid"/>
              <w:tblW w:type="auto" w:w="0"/>
              <w:tblLook w:firstColumn="1" w:firstRow="1" w:lastColumn="0" w:lastRow="0" w:noHBand="0" w:noVBand="1" w:val="04A0"/>
            </w:tblPr>
            <w:tblGrid>
              <w:gridCol w:w="3283"/>
              <w:gridCol w:w="3283"/>
            </w:tblGrid>
            <w:tr>
              <w:tc>
                <w:tcPr>
                  <w:tcW w:type="dxa" w:w="3283"/>
                  <w:shd w:fill="2E4057"/>
                </w:tcPr>
                <w:p>
                  <w:r>
                    <w:rPr>
                      <w:b/>
                      <w:color w:val="FFFFFF"/>
                    </w:rPr>
                    <w:t>ID</w:t>
                  </w:r>
                </w:p>
              </w:tc>
              <w:tc>
                <w:tcPr>
                  <w:tcW w:type="dxa" w:w="3283"/>
                  <w:shd w:fill="2E4057"/>
                </w:tcPr>
                <w:p>
                  <w:r>
                    <w:rPr>
                      <w:b/>
                      <w:color w:val="FFFFFF"/>
                    </w:rPr>
                    <w:t>Technique</w:t>
                  </w:r>
                </w:p>
              </w:tc>
            </w:tr>
            <w:tr>
              <w:tc>
                <w:tcPr>
                  <w:tcW w:type="dxa" w:w="3283"/>
                </w:tcPr>
                <w:p>
                  <w:r>
                    <w:t>T1486</w:t>
                  </w:r>
                </w:p>
              </w:tc>
              <w:tc>
                <w:tcPr>
                  <w:tcW w:type="dxa" w:w="3283"/>
                </w:tcPr>
                <w:p>
                  <w:r>
                    <w:t>Data Encrypted for Impact</w:t>
                  </w:r>
                </w:p>
              </w:tc>
            </w:tr>
            <w:tr>
              <w:tc>
                <w:tcPr>
                  <w:tcW w:type="dxa" w:w="3283"/>
                </w:tcPr>
                <w:p>
                  <w:r>
                    <w:t>T1021.004</w:t>
                  </w:r>
                </w:p>
              </w:tc>
              <w:tc>
                <w:tcPr>
                  <w:tcW w:type="dxa" w:w="3283"/>
                </w:tcPr>
                <w:p>
                  <w:r>
                    <w:t>Remote Services: SSH</w:t>
                  </w:r>
                </w:p>
              </w:tc>
            </w:tr>
            <w:tr>
              <w:tc>
                <w:tcPr>
                  <w:tcW w:type="dxa" w:w="3283"/>
                </w:tcPr>
                <w:p>
                  <w:r>
                    <w:t>T1112</w:t>
                  </w:r>
                </w:p>
              </w:tc>
              <w:tc>
                <w:tcPr>
                  <w:tcW w:type="dxa" w:w="3283"/>
                </w:tcPr>
                <w:p>
                  <w:r>
                    <w:t>Modify Registry</w:t>
                  </w:r>
                </w:p>
              </w:tc>
            </w:tr>
          </w:tbl>
          <w:p/>
        </w:tc>
      </w:tr>
      <w:tr>
        <w:tc>
          <w:tcPr>
            <w:tcW w:type="dxa" w:w="2074"/>
            <w:tcMar>
              <w:top w:w="70" w:type="dxa"/>
              <w:bottom w:w="70" w:type="dxa"/>
              <w:left w:w="100" w:type="dxa"/>
              <w:right w:w="100" w:type="dxa"/>
            </w:tcMar>
          </w:tcPr>
          <w:p>
            <w:pPr>
              <w:spacing w:before="20" w:after="20"/>
            </w:pPr>
            <w:r>
              <w:rPr>
                <w:b/>
              </w:rPr>
              <w:t>IOCs</w:t>
            </w:r>
          </w:p>
        </w:tc>
        <w:tc>
          <w:tcPr>
            <w:tcW w:type="dxa" w:w="6566"/>
            <w:tcMar>
              <w:top w:w="70" w:type="dxa"/>
              <w:bottom w:w="70" w:type="dxa"/>
              <w:left w:w="100" w:type="dxa"/>
              <w:right w:w="100" w:type="dxa"/>
            </w:tcMar>
          </w:tcPr>
          <w:p/>
        </w:tc>
      </w:tr>
      <w:tr>
        <w:tc>
          <w:tcPr>
            <w:tcW w:type="dxa" w:w="2074"/>
            <w:tcMar>
              <w:top w:w="70" w:type="dxa"/>
              <w:bottom w:w="70" w:type="dxa"/>
              <w:left w:w="100" w:type="dxa"/>
              <w:right w:w="100" w:type="dxa"/>
            </w:tcMar>
          </w:tcPr>
          <w:p>
            <w:pPr>
              <w:spacing w:before="20" w:after="20"/>
            </w:pPr>
            <w:r>
              <w:rPr>
                <w:b/>
              </w:rPr>
              <w:t>Impacts</w:t>
            </w:r>
          </w:p>
        </w:tc>
        <w:tc>
          <w:tcPr>
            <w:tcW w:type="dxa" w:w="6566"/>
            <w:tcMar>
              <w:top w:w="70" w:type="dxa"/>
              <w:bottom w:w="70" w:type="dxa"/>
              <w:left w:w="100" w:type="dxa"/>
              <w:right w:w="100" w:type="dxa"/>
            </w:tcMar>
          </w:tcPr>
          <w:p/>
          <w:p>
            <w:pPr>
              <w:pStyle w:val="ListBullet"/>
            </w:pPr>
            <w:r>
              <w:t>Operational disruption due to encryption or service interruption.</w:t>
            </w:r>
          </w:p>
          <w:p>
            <w:pPr>
              <w:pStyle w:val="ListBullet"/>
            </w:pPr>
            <w:r>
              <w:t>Potential data loss and prolonged recovery timelines.</w:t>
            </w:r>
          </w:p>
          <w:p>
            <w:pPr>
              <w:pStyle w:val="ListBullet"/>
            </w:pPr>
            <w:r>
              <w:t>Financial losses from downtime, remediation, and possible extortion demands.</w:t>
            </w:r>
          </w:p>
          <w:p>
            <w:pPr>
              <w:pStyle w:val="ListBullet"/>
            </w:pPr>
            <w:r>
              <w:t>Reputational and compliance exposure if sensitive data is exfiltrated.</w:t>
            </w:r>
          </w:p>
          <w:p>
            <w:pPr>
              <w:pStyle w:val="ListBullet"/>
            </w:pPr>
            <w:r>
              <w:t>Increased risk of public data exposure through leak-site publication.</w:t>
            </w:r>
          </w:p>
          <w:p>
            <w:pPr>
              <w:pStyle w:val="ListBullet"/>
            </w:pPr>
            <w:r>
              <w:t>Recovery options may be degraded by backup or shadow copy tampering.</w:t>
            </w:r>
          </w:p>
        </w:tc>
      </w:tr>
      <w:tr>
        <w:tc>
          <w:tcPr>
            <w:tcW w:type="dxa" w:w="2074"/>
            <w:tcMar>
              <w:top w:w="70" w:type="dxa"/>
              <w:bottom w:w="70" w:type="dxa"/>
              <w:left w:w="100" w:type="dxa"/>
              <w:right w:w="100" w:type="dxa"/>
            </w:tcMar>
          </w:tcPr>
          <w:p>
            <w:pPr>
              <w:spacing w:before="20" w:after="20"/>
            </w:pPr>
            <w:r>
              <w:rPr>
                <w:b/>
              </w:rPr>
              <w:t>Affected Products</w:t>
            </w:r>
          </w:p>
        </w:tc>
        <w:tc>
          <w:tcPr>
            <w:tcW w:type="dxa" w:w="6566"/>
            <w:tcMar>
              <w:top w:w="70" w:type="dxa"/>
              <w:bottom w:w="70" w:type="dxa"/>
              <w:left w:w="100" w:type="dxa"/>
              <w:right w:w="100" w:type="dxa"/>
            </w:tcMar>
          </w:tcPr>
          <w:p/>
          <w:p>
            <w:pPr>
              <w:pStyle w:val="ListBullet"/>
            </w:pPr>
            <w:r>
              <w:t>Microsoft Windows</w:t>
            </w:r>
          </w:p>
        </w:tc>
      </w:tr>
      <w:tr>
        <w:tc>
          <w:tcPr>
            <w:tcW w:type="dxa" w:w="2074"/>
            <w:tcMar>
              <w:top w:w="70" w:type="dxa"/>
              <w:bottom w:w="70" w:type="dxa"/>
              <w:left w:w="100" w:type="dxa"/>
              <w:right w:w="100" w:type="dxa"/>
            </w:tcMar>
          </w:tcPr>
          <w:p>
            <w:pPr>
              <w:spacing w:before="20" w:after="20"/>
            </w:pPr>
            <w:r>
              <w:rPr>
                <w:b/>
              </w:rPr>
              <w:t>Recommended Action</w:t>
            </w:r>
          </w:p>
        </w:tc>
        <w:tc>
          <w:tcPr>
            <w:tcW w:type="dxa" w:w="6566"/>
            <w:tcMar>
              <w:top w:w="70" w:type="dxa"/>
              <w:bottom w:w="70" w:type="dxa"/>
              <w:left w:w="100" w:type="dxa"/>
              <w:right w:w="100" w:type="dxa"/>
            </w:tcMar>
          </w:tcPr>
          <w:p/>
          <w:p>
            <w:r>
              <w:rPr>
                <w:b/>
              </w:rPr>
              <w:t>Organisational Control</w:t>
            </w:r>
          </w:p>
          <w:p>
            <w:pPr>
              <w:pStyle w:val="ListBullet"/>
            </w:pPr>
            <w:r>
              <w:t>Maintain and test an incident response playbook for ransomware scenarios.</w:t>
            </w:r>
          </w:p>
          <w:p>
            <w:pPr>
              <w:pStyle w:val="ListBullet"/>
            </w:pPr>
            <w:r>
              <w:t>Enforce privileged access management and periodic credential hygiene reviews.</w:t>
            </w:r>
          </w:p>
          <w:p>
            <w:pPr>
              <w:pStyle w:val="ListBullet"/>
            </w:pPr>
            <w:r>
              <w:t>Require immutable and offline backup governance with routine restore testing.</w:t>
            </w:r>
          </w:p>
          <w:p>
            <w:r>
              <w:rPr>
                <w:b/>
              </w:rPr>
              <w:t>Technological Control</w:t>
            </w:r>
          </w:p>
          <w:p>
            <w:pPr>
              <w:pStyle w:val="ListBullet"/>
            </w:pPr>
            <w:r>
              <w:t>Patch and harden internet-facing systems and disable unnecessary remote services.</w:t>
            </w:r>
          </w:p>
          <w:p>
            <w:pPr>
              <w:pStyle w:val="ListBullet"/>
            </w:pPr>
            <w:r>
              <w:t>Deploy endpoint and network detections for encryption activity, privilege abuse, and service termination.</w:t>
            </w:r>
          </w:p>
          <w:p>
            <w:pPr>
              <w:pStyle w:val="ListBullet"/>
            </w:pPr>
            <w:r>
              <w:t>Segment critical infrastructure and restrict administrative protocols to controlled jump hosts.</w:t>
            </w:r>
          </w:p>
          <w:p>
            <w:r>
              <w:rPr>
                <w:b/>
              </w:rPr>
              <w:t>People Control</w:t>
            </w:r>
          </w:p>
          <w:p>
            <w:pPr>
              <w:pStyle w:val="ListBullet"/>
            </w:pPr>
            <w:r>
              <w:t>Train administrators to detect and escalate early signs of ransomware activity.</w:t>
            </w:r>
          </w:p>
          <w:p>
            <w:pPr>
              <w:pStyle w:val="ListBullet"/>
            </w:pPr>
            <w:r>
              <w:t>Conduct awareness campaigns on phishing, credential theft, and remote access abuse.</w:t>
            </w:r>
          </w:p>
          <w:p>
            <w:pPr>
              <w:pStyle w:val="ListBullet"/>
            </w:pPr>
            <w:r>
              <w:t>Apply least-privilege and just-in-time access for operational staff.</w:t>
            </w:r>
          </w:p>
          <w:p>
            <w:r>
              <w:rPr>
                <w:b/>
              </w:rPr>
              <w:t>Physical Control</w:t>
            </w:r>
          </w:p>
          <w:p>
            <w:pPr>
              <w:pStyle w:val="ListBullet"/>
            </w:pPr>
            <w:r>
              <w:t>Restrict physical access to hypervisors, servers, and backup infrastructure.</w:t>
            </w:r>
          </w:p>
          <w:p>
            <w:pPr>
              <w:pStyle w:val="ListBullet"/>
            </w:pPr>
            <w:r>
              <w:t>Use tamper controls and monitored access for data center and network rooms.</w:t>
            </w:r>
          </w:p>
          <w:p>
            <w:pPr>
              <w:pStyle w:val="ListBullet"/>
            </w:pPr>
            <w:r>
              <w:t>Store recovery media in secure, physically separated locations.</w:t>
            </w:r>
          </w:p>
        </w:tc>
      </w:tr>
      <w:tr>
        <w:tc>
          <w:tcPr>
            <w:tcW w:type="dxa" w:w="2074"/>
            <w:tcMar>
              <w:top w:w="70" w:type="dxa"/>
              <w:bottom w:w="70" w:type="dxa"/>
              <w:left w:w="100" w:type="dxa"/>
              <w:right w:w="100" w:type="dxa"/>
            </w:tcMar>
          </w:tcPr>
          <w:p>
            <w:pPr>
              <w:spacing w:before="20" w:after="20"/>
            </w:pPr>
            <w:r>
              <w:rPr>
                <w:b/>
              </w:rPr>
              <w:t>References</w:t>
            </w:r>
          </w:p>
        </w:tc>
        <w:tc>
          <w:tcPr>
            <w:tcW w:type="dxa" w:w="6566"/>
            <w:tcMar>
              <w:top w:w="70" w:type="dxa"/>
              <w:bottom w:w="70" w:type="dxa"/>
              <w:left w:w="100" w:type="dxa"/>
              <w:right w:w="100" w:type="dxa"/>
            </w:tcMar>
          </w:tcPr>
          <w:p/>
          <w:p>
            <w:r>
              <w:t>1. https://www.bleepingcomputer.com/news/security/bitwarden-cli-npm-package-compromised-to-steal-developer-credentials/</w:t>
            </w:r>
          </w:p>
          <w:p>
            <w:r>
              <w:t>2. https://socket.dev/blog/bitwarden-cli-compromised</w:t>
            </w:r>
          </w:p>
        </w:tc>
      </w:tr>
      <w:tr>
        <w:trPr>
          <w:trHeight w:val="2520" w:hRule="exact"/>
        </w:trPr>
        <w:tc>
          <w:tcPr>
            <w:tcW w:type="dxa" w:w="8640"/>
            <w:gridSpan w:val="2"/>
            <w:tcMar>
              <w:top w:w="4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5486400" cy="2582384"/>
                  <wp:docPr id="2" name="Picture 2"/>
                  <wp:cNvGraphicFramePr>
                    <a:graphicFrameLocks noChangeAspect="1"/>
                  </wp:cNvGraphicFramePr>
                  <a:graphic>
                    <a:graphicData uri="http://schemas.openxmlformats.org/drawingml/2006/picture">
                      <pic:pic>
                        <pic:nvPicPr>
                          <pic:cNvPr id="0" name="Footer Image_Advisory.png"/>
                          <pic:cNvPicPr/>
                        </pic:nvPicPr>
                        <pic:blipFill>
                          <a:blip r:embed="rId10"/>
                          <a:stretch>
                            <a:fillRect/>
                          </a:stretch>
                        </pic:blipFill>
                        <pic:spPr>
                          <a:xfrm>
                            <a:off x="0" y="0"/>
                            <a:ext cx="5486400" cy="2582384"/>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