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ayout w:type="fixed"/>
        <w:tblLook w:firstColumn="1" w:firstRow="1" w:lastColumn="0" w:lastRow="0" w:noHBand="0" w:noVBand="1" w:val="04A0"/>
        <w:tblBorders>
          <w:top w:val="single" w:sz="16" w:space="0" w:color="000000"/>
          <w:left w:val="single" w:sz="16" w:space="0" w:color="000000"/>
          <w:bottom w:val="single" w:sz="16" w:space="0" w:color="000000"/>
          <w:right w:val="single" w:sz="16" w:space="0" w:color="000000"/>
          <w:insideH w:val="single" w:sz="6" w:space="0" w:color="000000"/>
          <w:insideV w:val="single" w:sz="6" w:space="0" w:color="000000"/>
        </w:tblBorders>
      </w:tblPr>
      <w:tblGrid>
        <w:gridCol w:w="2074"/>
        <w:gridCol w:w="6566"/>
      </w:tblGrid>
      <w:tr>
        <w:trPr>
          <w:trHeight w:val="1800" w:hRule="exact"/>
        </w:trPr>
        <w:tc>
          <w:tcPr>
            <w:tcW w:type="dxa" w:w="8640"/>
            <w:gridSpan w:val="2"/>
            <w:tcMar>
              <w:top w:w="0" w:type="dxa"/>
              <w:bottom w:w="40" w:type="dxa"/>
              <w:left w:w="40" w:type="dxa"/>
              <w:right w:w="40" w:type="dxa"/>
            </w:tcMar>
          </w:tcPr>
          <w:p>
            <w:pPr>
              <w:spacing w:before="0" w:after="0"/>
              <w:jc w:val="center"/>
            </w:pPr>
            <w:r>
              <w:drawing>
                <wp:inline xmlns:a="http://schemas.openxmlformats.org/drawingml/2006/main" xmlns:pic="http://schemas.openxmlformats.org/drawingml/2006/picture">
                  <wp:extent cx="5486400" cy="838033"/>
                  <wp:docPr id="1" name="Picture 1"/>
                  <wp:cNvGraphicFramePr>
                    <a:graphicFrameLocks noChangeAspect="1"/>
                  </wp:cNvGraphicFramePr>
                  <a:graphic>
                    <a:graphicData uri="http://schemas.openxmlformats.org/drawingml/2006/picture">
                      <pic:pic>
                        <pic:nvPicPr>
                          <pic:cNvPr id="0" name="Header Image.png"/>
                          <pic:cNvPicPr/>
                        </pic:nvPicPr>
                        <pic:blipFill>
                          <a:blip r:embed="rId9"/>
                          <a:stretch>
                            <a:fillRect/>
                          </a:stretch>
                        </pic:blipFill>
                        <pic:spPr>
                          <a:xfrm>
                            <a:off x="0" y="0"/>
                            <a:ext cx="5486400" cy="838033"/>
                          </a:xfrm>
                          <a:prstGeom prst="rect"/>
                        </pic:spPr>
                      </pic:pic>
                    </a:graphicData>
                  </a:graphic>
                </wp:inline>
              </w:drawing>
            </w:r>
          </w:p>
          <w:p>
            <w:pPr>
              <w:spacing w:before="60" w:after="0"/>
              <w:jc w:val="right"/>
            </w:pPr>
            <w:r>
              <w:rPr>
                <w:sz w:val="16"/>
                <w:u w:val="single"/>
              </w:rPr>
              <w:t>Ref:TIA270426 - 01</w:t>
            </w:r>
          </w:p>
        </w:tc>
      </w:tr>
      <w:tr>
        <w:trPr>
          <w:trHeight w:val="547" w:hRule="exact"/>
        </w:trPr>
        <w:tc>
          <w:tcPr>
            <w:tcW w:type="dxa" w:w="8640"/>
            <w:gridSpan w:val="2"/>
            <w:tcMar>
              <w:top w:w="50" w:type="dxa"/>
              <w:bottom w:w="50" w:type="dxa"/>
              <w:left w:w="80" w:type="dxa"/>
              <w:right w:w="80" w:type="dxa"/>
            </w:tcMar>
          </w:tcPr>
          <w:p>
            <w:pPr>
              <w:spacing w:before="0" w:after="0"/>
              <w:jc w:val="center"/>
            </w:pPr>
            <w:r>
              <w:rPr>
                <w:b/>
                <w:sz w:val="28"/>
              </w:rPr>
              <w:t>Hackers Exploiting Cisco Firepower Devices Using n-day Vulnerabilities to Gain Unauthorized Access</w:t>
            </w:r>
          </w:p>
        </w:tc>
      </w:tr>
      <w:tr>
        <w:trPr>
          <w:trHeight w:val="3672" w:hRule="exact"/>
        </w:trPr>
        <w:tc>
          <w:tcPr>
            <w:tcW w:type="dxa" w:w="2074"/>
          </w:tcPr>
          <w:p>
            <w:r/>
          </w:p>
        </w:tc>
        <w:tc>
          <w:tcPr>
            <w:tcW w:type="dxa" w:w="6566"/>
          </w:tcPr>
          <w:p>
            <w:r/>
          </w:p>
        </w:tc>
      </w:tr>
      <w:tr>
        <w:tc>
          <w:tcPr>
            <w:tcW w:type="dxa" w:w="2074"/>
            <w:tcMar>
              <w:top w:w="70" w:type="dxa"/>
              <w:bottom w:w="70" w:type="dxa"/>
              <w:left w:w="100" w:type="dxa"/>
              <w:right w:w="100" w:type="dxa"/>
            </w:tcMar>
          </w:tcPr>
          <w:p>
            <w:pPr>
              <w:spacing w:before="20" w:after="20"/>
            </w:pPr>
            <w:r>
              <w:rPr>
                <w:b/>
              </w:rPr>
              <w:t>Overview</w:t>
            </w:r>
          </w:p>
        </w:tc>
        <w:tc>
          <w:tcPr>
            <w:tcW w:type="dxa" w:w="6566"/>
            <w:tcMar>
              <w:top w:w="70" w:type="dxa"/>
              <w:bottom w:w="70" w:type="dxa"/>
              <w:left w:w="100" w:type="dxa"/>
              <w:right w:w="100" w:type="dxa"/>
            </w:tcMar>
          </w:tcPr>
          <w:p>
            <w:r>
              <w:t>Cisco Talos recently discovered that the espionage-focused threat group UAT-4356 is exploiting two n-day vulnerabilities, tracked as CVE-2025-20333 and CVE-2025-20362, to infiltrate Firepower Extensible Operating System (FXOS) environments. UAT-4356 previously orchestrated the ArcaneDoor campaign, which successfully targeted network perimeter devices to conduct widespread espionage. In this latest campaign, attackers leverage their initial access to install “FIRESTARTER,” an advanced implant that grants unauthorized remote control over compromised networks. The FIRESTARTER backdoor embeds itself deep within the core components of Cisco’s ASA and FTD appliances .</w:t>
            </w:r>
          </w:p>
        </w:tc>
      </w:tr>
      <w:tr>
        <w:tc>
          <w:tcPr>
            <w:tcW w:type="dxa" w:w="2074"/>
            <w:tcMar>
              <w:top w:w="70" w:type="dxa"/>
              <w:bottom w:w="70" w:type="dxa"/>
              <w:left w:w="100" w:type="dxa"/>
              <w:right w:w="100" w:type="dxa"/>
            </w:tcMar>
          </w:tcPr>
          <w:p>
            <w:pPr>
              <w:spacing w:before="20" w:after="20"/>
            </w:pPr>
            <w:r>
              <w:rPr>
                <w:b/>
              </w:rPr>
              <w:t>Threat Severity</w:t>
            </w:r>
          </w:p>
        </w:tc>
        <w:tc>
          <w:tcPr>
            <w:tcW w:type="dxa" w:w="6566"/>
            <w:tcMar>
              <w:top w:w="70" w:type="dxa"/>
              <w:bottom w:w="70" w:type="dxa"/>
              <w:left w:w="100" w:type="dxa"/>
              <w:right w:w="100" w:type="dxa"/>
            </w:tcMar>
          </w:tcPr>
          <w:p>
            <w:r>
              <w:rPr>
                <w:b/>
                <w:color w:val="FF8C00"/>
              </w:rPr>
              <w:t>Medium</w:t>
            </w:r>
          </w:p>
        </w:tc>
      </w:tr>
      <w:tr>
        <w:tc>
          <w:tcPr>
            <w:tcW w:type="dxa" w:w="2074"/>
            <w:tcMar>
              <w:top w:w="70" w:type="dxa"/>
              <w:bottom w:w="70" w:type="dxa"/>
              <w:left w:w="100" w:type="dxa"/>
              <w:right w:w="100" w:type="dxa"/>
            </w:tcMar>
          </w:tcPr>
          <w:p>
            <w:pPr>
              <w:spacing w:before="20" w:after="20"/>
            </w:pPr>
            <w:r>
              <w:rPr>
                <w:b/>
              </w:rPr>
              <w:t>Targeted Region</w:t>
            </w:r>
          </w:p>
        </w:tc>
        <w:tc>
          <w:tcPr>
            <w:tcW w:type="dxa" w:w="6566"/>
            <w:tcMar>
              <w:top w:w="70" w:type="dxa"/>
              <w:bottom w:w="70" w:type="dxa"/>
              <w:left w:w="100" w:type="dxa"/>
              <w:right w:w="100" w:type="dxa"/>
            </w:tcMar>
          </w:tcPr>
          <w:p>
            <w:r>
              <w:t>Global</w:t>
            </w:r>
          </w:p>
        </w:tc>
      </w:tr>
      <w:tr>
        <w:tc>
          <w:tcPr>
            <w:tcW w:type="dxa" w:w="2074"/>
            <w:tcMar>
              <w:top w:w="70" w:type="dxa"/>
              <w:bottom w:w="70" w:type="dxa"/>
              <w:left w:w="100" w:type="dxa"/>
              <w:right w:w="100" w:type="dxa"/>
            </w:tcMar>
          </w:tcPr>
          <w:p>
            <w:pPr>
              <w:spacing w:before="20" w:after="20"/>
            </w:pPr>
            <w:r>
              <w:rPr>
                <w:b/>
              </w:rPr>
              <w:t>Targeted Sector</w:t>
            </w:r>
          </w:p>
        </w:tc>
        <w:tc>
          <w:tcPr>
            <w:tcW w:type="dxa" w:w="6566"/>
            <w:tcMar>
              <w:top w:w="70" w:type="dxa"/>
              <w:bottom w:w="70" w:type="dxa"/>
              <w:left w:w="100" w:type="dxa"/>
              <w:right w:w="100" w:type="dxa"/>
            </w:tcMar>
          </w:tcPr>
          <w:p>
            <w:r>
              <w:t>Multiple Sectors (inferred)</w:t>
            </w:r>
          </w:p>
        </w:tc>
      </w:tr>
      <w:tr>
        <w:tc>
          <w:tcPr>
            <w:tcW w:type="dxa" w:w="2074"/>
            <w:tcMar>
              <w:top w:w="70" w:type="dxa"/>
              <w:bottom w:w="70" w:type="dxa"/>
              <w:left w:w="100" w:type="dxa"/>
              <w:right w:w="100" w:type="dxa"/>
            </w:tcMar>
          </w:tcPr>
          <w:p>
            <w:pPr>
              <w:spacing w:before="20" w:after="20"/>
            </w:pPr>
            <w:r>
              <w:rPr>
                <w:b/>
              </w:rPr>
              <w:t>Attack Vector</w:t>
            </w:r>
          </w:p>
        </w:tc>
        <w:tc>
          <w:tcPr>
            <w:tcW w:type="dxa" w:w="6566"/>
            <w:tcMar>
              <w:top w:w="70" w:type="dxa"/>
              <w:bottom w:w="70" w:type="dxa"/>
              <w:left w:w="100" w:type="dxa"/>
              <w:right w:w="100" w:type="dxa"/>
            </w:tcMar>
          </w:tcPr>
          <w:p/>
          <w:p>
            <w:pPr>
              <w:pStyle w:val="ListBullet"/>
            </w:pPr>
            <w:r>
              <w:rPr>
                <w:b/>
              </w:rPr>
              <w:t xml:space="preserve">Initial Access: </w:t>
            </w:r>
            <w:r>
              <w:t>In this latest campaign, attackers leverage their initial access to install “FIRESTARTER,” an advanced implant that grants unauthorized remote control over compromised networks.</w:t>
            </w:r>
          </w:p>
          <w:p>
            <w:pPr>
              <w:pStyle w:val="ListBullet"/>
            </w:pPr>
            <w:r>
              <w:rPr>
                <w:b/>
              </w:rPr>
              <w:t xml:space="preserve">Execution: </w:t>
            </w:r>
            <w:r>
              <w:t>Malicious Payload Execution To establish a foothold, UAT-4356 manipulates the device’s boot sequence by altering the Cisco Service Platform mount list.</w:t>
            </w:r>
          </w:p>
          <w:p>
            <w:pPr>
              <w:pStyle w:val="ListBullet"/>
            </w:pPr>
            <w:r>
              <w:rPr>
                <w:b/>
              </w:rPr>
              <w:t xml:space="preserve">Lateral Movement: </w:t>
            </w:r>
            <w:r>
              <w:t>In this latest campaign, attackers leverage their initial access to install “FIRESTARTER,” an advanced implant that grants unauthorized remote control over compromised networks.</w:t>
            </w:r>
          </w:p>
          <w:p>
            <w:pPr>
              <w:pStyle w:val="ListBullet"/>
            </w:pPr>
            <w:r>
              <w:rPr>
                <w:b/>
              </w:rPr>
              <w:t xml:space="preserve">Exfiltration: </w:t>
            </w:r>
            <w:r>
              <w:t>No explicit exfiltration stage sentence was found in the source URL.</w:t>
            </w:r>
          </w:p>
        </w:tc>
      </w:tr>
      <w:tr>
        <w:tc>
          <w:tcPr>
            <w:tcW w:type="dxa" w:w="2074"/>
            <w:tcMar>
              <w:top w:w="70" w:type="dxa"/>
              <w:bottom w:w="70" w:type="dxa"/>
              <w:left w:w="100" w:type="dxa"/>
              <w:right w:w="100" w:type="dxa"/>
            </w:tcMar>
          </w:tcPr>
          <w:p>
            <w:pPr>
              <w:spacing w:before="20" w:after="20"/>
            </w:pPr>
            <w:r>
              <w:rPr>
                <w:b/>
              </w:rPr>
              <w:t>Attack Technique</w:t>
            </w:r>
          </w:p>
        </w:tc>
        <w:tc>
          <w:tcPr>
            <w:tcW w:type="dxa" w:w="6566"/>
            <w:tcMar>
              <w:top w:w="70" w:type="dxa"/>
              <w:bottom w:w="70" w:type="dxa"/>
              <w:left w:w="100" w:type="dxa"/>
              <w:right w:w="100" w:type="dxa"/>
            </w:tcMar>
          </w:tcPr>
          <w:p/>
          <w:p>
            <w:r>
              <w:t>In this latest campaign, attackers leverage their initial access to install “FIRESTARTER,” an advanced implant that grants unauthorized remote control over compromised networks. Malicious Payload Execution To establish a foothold, UAT-4356 manipulates the device’s boot sequence by altering the Cisco Service Platform mount list.</w:t>
            </w:r>
          </w:p>
          <w:p>
            <w:r>
              <w:t>In this latest campaign, attackers leverage their initial access to install “FIRESTARTER,” an advanced implant that grants unauthorized remote control over compromised networks. No explicit exfiltration stage sentence was found in the source URL.</w:t>
            </w:r>
          </w:p>
        </w:tc>
      </w:tr>
      <w:tr>
        <w:tc>
          <w:tcPr>
            <w:tcW w:type="dxa" w:w="2074"/>
            <w:tcMar>
              <w:top w:w="70" w:type="dxa"/>
              <w:bottom w:w="70" w:type="dxa"/>
              <w:left w:w="100" w:type="dxa"/>
              <w:right w:w="100" w:type="dxa"/>
            </w:tcMar>
          </w:tcPr>
          <w:p>
            <w:pPr>
              <w:spacing w:before="20" w:after="20"/>
            </w:pPr>
            <w:r>
              <w:rPr>
                <w:b/>
              </w:rPr>
              <w:t>MITRE ATT&amp;CK Technique</w:t>
            </w:r>
          </w:p>
        </w:tc>
        <w:tc>
          <w:tcPr>
            <w:tcW w:type="dxa" w:w="6566"/>
            <w:tcMar>
              <w:top w:w="70" w:type="dxa"/>
              <w:bottom w:w="70" w:type="dxa"/>
              <w:left w:w="100" w:type="dxa"/>
              <w:right w:w="100" w:type="dxa"/>
            </w:tcMar>
          </w:tcPr>
          <w:p/>
          <w:tbl>
            <w:tblPr>
              <w:tblStyle w:val="TableGrid"/>
              <w:tblW w:type="auto" w:w="0"/>
              <w:tblLook w:firstColumn="1" w:firstRow="1" w:lastColumn="0" w:lastRow="0" w:noHBand="0" w:noVBand="1" w:val="04A0"/>
            </w:tblPr>
            <w:tblGrid>
              <w:gridCol w:w="3283"/>
              <w:gridCol w:w="3283"/>
            </w:tblGrid>
            <w:tr>
              <w:tc>
                <w:tcPr>
                  <w:tcW w:type="dxa" w:w="3283"/>
                  <w:shd w:fill="2E4057"/>
                </w:tcPr>
                <w:p>
                  <w:r>
                    <w:rPr>
                      <w:b/>
                      <w:color w:val="FFFFFF"/>
                    </w:rPr>
                    <w:t>ID</w:t>
                  </w:r>
                </w:p>
              </w:tc>
              <w:tc>
                <w:tcPr>
                  <w:tcW w:type="dxa" w:w="3283"/>
                  <w:shd w:fill="2E4057"/>
                </w:tcPr>
                <w:p>
                  <w:r>
                    <w:rPr>
                      <w:b/>
                      <w:color w:val="FFFFFF"/>
                    </w:rPr>
                    <w:t>Technique</w:t>
                  </w:r>
                </w:p>
              </w:tc>
            </w:tr>
          </w:tbl>
          <w:p/>
        </w:tc>
      </w:tr>
      <w:tr>
        <w:tc>
          <w:tcPr>
            <w:tcW w:type="dxa" w:w="2074"/>
            <w:tcMar>
              <w:top w:w="70" w:type="dxa"/>
              <w:bottom w:w="70" w:type="dxa"/>
              <w:left w:w="100" w:type="dxa"/>
              <w:right w:w="100" w:type="dxa"/>
            </w:tcMar>
          </w:tcPr>
          <w:p>
            <w:pPr>
              <w:spacing w:before="20" w:after="20"/>
            </w:pPr>
            <w:r>
              <w:rPr>
                <w:b/>
              </w:rPr>
              <w:t>IOCs</w:t>
            </w:r>
          </w:p>
        </w:tc>
        <w:tc>
          <w:tcPr>
            <w:tcW w:type="dxa" w:w="6566"/>
            <w:tcMar>
              <w:top w:w="70" w:type="dxa"/>
              <w:bottom w:w="70" w:type="dxa"/>
              <w:left w:w="100" w:type="dxa"/>
              <w:right w:w="100" w:type="dxa"/>
            </w:tcMar>
          </w:tcPr>
          <w:p/>
        </w:tc>
      </w:tr>
      <w:tr>
        <w:tc>
          <w:tcPr>
            <w:tcW w:type="dxa" w:w="2074"/>
            <w:tcMar>
              <w:top w:w="70" w:type="dxa"/>
              <w:bottom w:w="70" w:type="dxa"/>
              <w:left w:w="100" w:type="dxa"/>
              <w:right w:w="100" w:type="dxa"/>
            </w:tcMar>
          </w:tcPr>
          <w:p>
            <w:pPr>
              <w:spacing w:before="20" w:after="20"/>
            </w:pPr>
            <w:r>
              <w:rPr>
                <w:b/>
              </w:rPr>
              <w:t>Impacts</w:t>
            </w:r>
          </w:p>
        </w:tc>
        <w:tc>
          <w:tcPr>
            <w:tcW w:type="dxa" w:w="6566"/>
            <w:tcMar>
              <w:top w:w="70" w:type="dxa"/>
              <w:bottom w:w="70" w:type="dxa"/>
              <w:left w:w="100" w:type="dxa"/>
              <w:right w:w="100" w:type="dxa"/>
            </w:tcMar>
          </w:tcPr>
          <w:p/>
          <w:p>
            <w:pPr>
              <w:pStyle w:val="ListBullet"/>
            </w:pPr>
            <w:r>
              <w:t>Compromise of privileged and user credentials can lead to unauthorized access across Active Directory and connected SaaS systems.</w:t>
            </w:r>
          </w:p>
          <w:p>
            <w:pPr>
              <w:pStyle w:val="ListBullet"/>
            </w:pPr>
            <w:r>
              <w:t>Exposure of browser-stored and in-memory credentials increases risk of account takeover and sustained adversary persistence.</w:t>
            </w:r>
          </w:p>
          <w:p>
            <w:pPr>
              <w:pStyle w:val="ListBullet"/>
            </w:pPr>
            <w:r>
              <w:t>Exfiltration of internal documents and session artifacts can cause data-loss, legal, and regulatory reporting impact.</w:t>
            </w:r>
          </w:p>
          <w:p>
            <w:pPr>
              <w:pStyle w:val="ListBullet"/>
            </w:pPr>
            <w:r>
              <w:t>Stolen authentication data can be reused for follow-on intrusion, lateral movement, and long-term espionage activity.</w:t>
            </w:r>
          </w:p>
        </w:tc>
      </w:tr>
      <w:tr>
        <w:tc>
          <w:tcPr>
            <w:tcW w:type="dxa" w:w="2074"/>
            <w:tcMar>
              <w:top w:w="70" w:type="dxa"/>
              <w:bottom w:w="70" w:type="dxa"/>
              <w:left w:w="100" w:type="dxa"/>
              <w:right w:w="100" w:type="dxa"/>
            </w:tcMar>
          </w:tcPr>
          <w:p>
            <w:pPr>
              <w:spacing w:before="20" w:after="20"/>
            </w:pPr>
            <w:r>
              <w:rPr>
                <w:b/>
              </w:rPr>
              <w:t>Affected Products</w:t>
            </w:r>
          </w:p>
        </w:tc>
        <w:tc>
          <w:tcPr>
            <w:tcW w:type="dxa" w:w="6566"/>
            <w:tcMar>
              <w:top w:w="70" w:type="dxa"/>
              <w:bottom w:w="70" w:type="dxa"/>
              <w:left w:w="100" w:type="dxa"/>
              <w:right w:w="100" w:type="dxa"/>
            </w:tcMar>
          </w:tcPr>
          <w:p/>
          <w:p>
            <w:pPr>
              <w:pStyle w:val="ListBullet"/>
            </w:pPr>
            <w:r>
              <w:t>Microsoft Windows</w:t>
            </w:r>
          </w:p>
          <w:p>
            <w:pPr>
              <w:pStyle w:val="ListBullet"/>
            </w:pPr>
            <w:r>
              <w:t>Linux</w:t>
            </w:r>
          </w:p>
          <w:p>
            <w:pPr>
              <w:pStyle w:val="ListBullet"/>
            </w:pPr>
            <w:r>
              <w:t>Microsoft Teams</w:t>
            </w:r>
          </w:p>
        </w:tc>
      </w:tr>
      <w:tr>
        <w:tc>
          <w:tcPr>
            <w:tcW w:type="dxa" w:w="2074"/>
            <w:tcMar>
              <w:top w:w="70" w:type="dxa"/>
              <w:bottom w:w="70" w:type="dxa"/>
              <w:left w:w="100" w:type="dxa"/>
              <w:right w:w="100" w:type="dxa"/>
            </w:tcMar>
          </w:tcPr>
          <w:p>
            <w:pPr>
              <w:spacing w:before="20" w:after="20"/>
            </w:pPr>
            <w:r>
              <w:rPr>
                <w:b/>
              </w:rPr>
              <w:t>Recommended Action</w:t>
            </w:r>
          </w:p>
        </w:tc>
        <w:tc>
          <w:tcPr>
            <w:tcW w:type="dxa" w:w="6566"/>
            <w:tcMar>
              <w:top w:w="70" w:type="dxa"/>
              <w:bottom w:w="70" w:type="dxa"/>
              <w:left w:w="100" w:type="dxa"/>
              <w:right w:w="100" w:type="dxa"/>
            </w:tcMar>
          </w:tcPr>
          <w:p/>
          <w:p>
            <w:r>
              <w:rPr>
                <w:b/>
              </w:rPr>
              <w:t>Organisational Control</w:t>
            </w:r>
          </w:p>
          <w:p>
            <w:pPr>
              <w:pStyle w:val="ListBullet"/>
            </w:pPr>
            <w:r>
              <w:t>Enforce social-engineering response procedures for helpdesk and security operations.</w:t>
            </w:r>
          </w:p>
          <w:p>
            <w:pPr>
              <w:pStyle w:val="ListBullet"/>
            </w:pPr>
            <w:r>
              <w:t>Require high-risk user verification steps for external collaboration and urgent file requests.</w:t>
            </w:r>
          </w:p>
          <w:p>
            <w:r>
              <w:rPr>
                <w:b/>
              </w:rPr>
              <w:t>Technological Control</w:t>
            </w:r>
          </w:p>
          <w:p>
            <w:pPr>
              <w:pStyle w:val="ListBullet"/>
            </w:pPr>
            <w:r>
              <w:t>Restrict Microsoft Teams external chat/file-delivery pathways and block untrusted file types.</w:t>
            </w:r>
          </w:p>
          <w:p>
            <w:pPr>
              <w:pStyle w:val="ListBullet"/>
            </w:pPr>
            <w:r>
              <w:t>Alert on AutoHotKey execution and unsigned script launches from user-profile and temp paths.</w:t>
            </w:r>
          </w:p>
          <w:p>
            <w:pPr>
              <w:pStyle w:val="ListBullet"/>
            </w:pPr>
            <w:r>
              <w:t>Monitor for LSASS memory access and credential-dumping behavior from non-admin processes.</w:t>
            </w:r>
          </w:p>
          <w:p>
            <w:pPr>
              <w:pStyle w:val="ListBullet"/>
            </w:pPr>
            <w:r>
              <w:t>Deploy browser-extension control and telemetry for Edge/Chrome to detect malicious add-ons.</w:t>
            </w:r>
          </w:p>
          <w:p>
            <w:r>
              <w:rPr>
                <w:b/>
              </w:rPr>
              <w:t>People Control</w:t>
            </w:r>
          </w:p>
          <w:p>
            <w:pPr>
              <w:pStyle w:val="ListBullet"/>
            </w:pPr>
            <w:r>
              <w:t>Train users to treat Teams-delivered installers/scripts as suspicious by default.</w:t>
            </w:r>
          </w:p>
          <w:p>
            <w:pPr>
              <w:pStyle w:val="ListBullet"/>
            </w:pPr>
            <w:r>
              <w:t>Brief administrators on immediate containment actions for suspected credential theft events.</w:t>
            </w:r>
          </w:p>
          <w:p>
            <w:r>
              <w:rPr>
                <w:b/>
              </w:rPr>
              <w:t>Physical Control</w:t>
            </w:r>
          </w:p>
          <w:p>
            <w:pPr>
              <w:pStyle w:val="ListBullet"/>
            </w:pPr>
            <w:r>
              <w:t>Restrict access to privileged admin workstations used for identity and directory operations.</w:t>
            </w:r>
          </w:p>
        </w:tc>
      </w:tr>
      <w:tr>
        <w:tc>
          <w:tcPr>
            <w:tcW w:type="dxa" w:w="2074"/>
            <w:tcMar>
              <w:top w:w="70" w:type="dxa"/>
              <w:bottom w:w="70" w:type="dxa"/>
              <w:left w:w="100" w:type="dxa"/>
              <w:right w:w="100" w:type="dxa"/>
            </w:tcMar>
          </w:tcPr>
          <w:p>
            <w:pPr>
              <w:spacing w:before="20" w:after="20"/>
            </w:pPr>
            <w:r>
              <w:rPr>
                <w:b/>
              </w:rPr>
              <w:t>References</w:t>
            </w:r>
          </w:p>
        </w:tc>
        <w:tc>
          <w:tcPr>
            <w:tcW w:type="dxa" w:w="6566"/>
            <w:tcMar>
              <w:top w:w="70" w:type="dxa"/>
              <w:bottom w:w="70" w:type="dxa"/>
              <w:left w:w="100" w:type="dxa"/>
              <w:right w:w="100" w:type="dxa"/>
            </w:tcMar>
          </w:tcPr>
          <w:p/>
          <w:p>
            <w:r>
              <w:t>1. https://cybersecuritynews.com/hackers-exploiting-cisco-firepower-devices-using-n-day-vulnerabilities/</w:t>
            </w:r>
          </w:p>
        </w:tc>
      </w:tr>
      <w:tr>
        <w:trPr>
          <w:trHeight w:val="2520" w:hRule="exact"/>
        </w:trPr>
        <w:tc>
          <w:tcPr>
            <w:tcW w:type="dxa" w:w="8640"/>
            <w:gridSpan w:val="2"/>
            <w:tcMar>
              <w:top w:w="40" w:type="dxa"/>
              <w:bottom w:w="40" w:type="dxa"/>
              <w:left w:w="40" w:type="dxa"/>
              <w:right w:w="40" w:type="dxa"/>
            </w:tcMar>
          </w:tcPr>
          <w:p>
            <w:pPr>
              <w:spacing w:before="0" w:after="0"/>
              <w:jc w:val="center"/>
            </w:pPr>
            <w:r>
              <w:drawing>
                <wp:inline xmlns:a="http://schemas.openxmlformats.org/drawingml/2006/main" xmlns:pic="http://schemas.openxmlformats.org/drawingml/2006/picture">
                  <wp:extent cx="5486400" cy="2582384"/>
                  <wp:docPr id="2" name="Picture 2"/>
                  <wp:cNvGraphicFramePr>
                    <a:graphicFrameLocks noChangeAspect="1"/>
                  </wp:cNvGraphicFramePr>
                  <a:graphic>
                    <a:graphicData uri="http://schemas.openxmlformats.org/drawingml/2006/picture">
                      <pic:pic>
                        <pic:nvPicPr>
                          <pic:cNvPr id="0" name="Footer Image_Advisory.png"/>
                          <pic:cNvPicPr/>
                        </pic:nvPicPr>
                        <pic:blipFill>
                          <a:blip r:embed="rId10"/>
                          <a:stretch>
                            <a:fillRect/>
                          </a:stretch>
                        </pic:blipFill>
                        <pic:spPr>
                          <a:xfrm>
                            <a:off x="0" y="0"/>
                            <a:ext cx="5486400" cy="2582384"/>
                          </a:xfrm>
                          <a:prstGeom prst="rect"/>
                        </pic:spPr>
                      </pic:pic>
                    </a:graphicData>
                  </a:graphic>
                </wp:inline>
              </w:drawing>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