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6" w:space="0" w:color="000000"/>
          <w:insideV w:val="single" w:sz="6" w:space="0" w:color="000000"/>
        </w:tblBorders>
      </w:tblPr>
      <w:tblGrid>
        <w:gridCol w:w="2074"/>
        <w:gridCol w:w="6566"/>
      </w:tblGrid>
      <w:tr>
        <w:trPr>
          <w:trHeight w:val="1800" w:hRule="exact"/>
        </w:trPr>
        <w:tc>
          <w:tcPr>
            <w:tcW w:type="dxa" w:w="8640"/>
            <w:gridSpan w:val="2"/>
            <w:tcMar>
              <w:top w:w="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83803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der 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8380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/>
              <w:jc w:val="right"/>
            </w:pPr>
            <w:r>
              <w:rPr>
                <w:sz w:val="16"/>
                <w:u w:val="single"/>
              </w:rPr>
              <w:t>Ref:TIA270426 - 01</w:t>
            </w:r>
          </w:p>
        </w:tc>
      </w:tr>
      <w:tr>
        <w:trPr>
          <w:trHeight w:val="547" w:hRule="exact"/>
        </w:trPr>
        <w:tc>
          <w:tcPr>
            <w:tcW w:type="dxa" w:w="8640"/>
            <w:gridSpan w:val="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sz w:val="28"/>
              </w:rPr>
              <w:t>How UNC6692 Employed Social Engineering to Deploy a Custom Malware Suite</w:t>
            </w:r>
          </w:p>
        </w:tc>
      </w:tr>
      <w:tr>
        <w:trPr>
          <w:trHeight w:val="3672" w:hRule="exact"/>
        </w:trPr>
        <w:tc>
          <w:tcPr>
            <w:tcW w:type="dxa" w:w="2074"/>
          </w:tcPr>
          <w:p>
            <w:r/>
          </w:p>
        </w:tc>
        <w:tc>
          <w:tcPr>
            <w:tcW w:type="dxa" w:w="6566"/>
          </w:tcPr>
          <w:p>
            <w:r/>
          </w:p>
        </w:tc>
      </w:tr>
      <w:tr>
        <w:tc>
          <w:tcPr>
            <w:tcW w:type="dxa" w:w="207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</w:rPr>
              <w:t>Overview</w:t>
            </w:r>
          </w:p>
        </w:tc>
        <w:tc>
          <w:tcPr>
            <w:tcW w:type="dxa" w:w="656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As with many other intrusions in recent years, UNC6692 relied heavily on impersonating IT helpdesk employees, convincing their victim to accept a Microsoft Teams chat invitation from an account outside their organization. The UNC6692 campaign demonstrates an interesting evolution in tactics, particularly the use of social engineering, custom malware, and a malicious browser extension, playing on the victim’s inherent trust in several different enterprise software providers. Threat Details In late December 2025, UNC6692 conducted a large email campaign designed to overwhelm the target with messages, creating a sense of urgency and distraction. Following this, the attacker sent a phishing message via Microsoft Teams, posing as helpdesk personnel offering assistance with the email volume.</w:t>
            </w:r>
          </w:p>
        </w:tc>
      </w:tr>
      <w:tr>
        <w:tc>
          <w:tcPr>
            <w:tcW w:type="dxa" w:w="207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</w:rPr>
              <w:t>Threat Severity</w:t>
            </w:r>
          </w:p>
        </w:tc>
        <w:tc>
          <w:tcPr>
            <w:tcW w:type="dxa" w:w="656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FF0000"/>
              </w:rPr>
              <w:t>High</w:t>
            </w:r>
          </w:p>
        </w:tc>
      </w:tr>
      <w:tr>
        <w:tc>
          <w:tcPr>
            <w:tcW w:type="dxa" w:w="207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</w:rPr>
              <w:t>Targeted Region</w:t>
            </w:r>
          </w:p>
        </w:tc>
        <w:tc>
          <w:tcPr>
            <w:tcW w:type="dxa" w:w="656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Global</w:t>
            </w:r>
          </w:p>
        </w:tc>
      </w:tr>
      <w:tr>
        <w:tc>
          <w:tcPr>
            <w:tcW w:type="dxa" w:w="207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</w:rPr>
              <w:t>Targeted Sector</w:t>
            </w:r>
          </w:p>
        </w:tc>
        <w:tc>
          <w:tcPr>
            <w:tcW w:type="dxa" w:w="656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Multiple Sectors (inferred)</w:t>
            </w:r>
          </w:p>
        </w:tc>
      </w:tr>
      <w:tr>
        <w:tc>
          <w:tcPr>
            <w:tcW w:type="dxa" w:w="207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</w:rPr>
              <w:t>Attack Vector</w:t>
            </w:r>
          </w:p>
        </w:tc>
        <w:tc>
          <w:tcPr>
            <w:tcW w:type="dxa" w:w="6566"/>
            <w:tcMar>
              <w:top w:w="70" w:type="dxa"/>
              <w:bottom w:w="70" w:type="dxa"/>
              <w:left w:w="100" w:type="dxa"/>
              <w:right w:w="100" w:type="dxa"/>
            </w:tcMar>
          </w:tcPr>
          <w:p/>
          <w:p>
            <w:pPr>
              <w:pStyle w:val="ListBullet"/>
            </w:pPr>
            <w:r>
              <w:rPr>
                <w:b/>
              </w:rPr>
              <w:t xml:space="preserve">Initial Access: </w:t>
            </w:r>
            <w:r>
              <w:t>How UNC6692 Employed Social Engineering to Deploy a Custom Malware Suite | Google Cloud Blog Threat Intelligence Snow Flurries: How UNC6692 Employed Social Engineering to Deploy a Custom Malware Suite April 24, 2026 Mand</w:t>
            </w:r>
          </w:p>
          <w:p>
            <w:pPr>
              <w:pStyle w:val="ListBullet"/>
            </w:pPr>
            <w:r>
              <w:rPr>
                <w:b/>
              </w:rPr>
              <w:t xml:space="preserve">Execution: </w:t>
            </w:r>
            <w:r>
              <w:t>Once clicked, the user’s browser opened an HTML page and ultimately downloaded a renamed AutoHotKey binary and an AutoHotkey script, sharing the same name, from a threat actor-controlled AWS S3 bucket.</w:t>
            </w:r>
          </w:p>
          <w:p>
            <w:pPr>
              <w:pStyle w:val="ListBullet"/>
            </w:pPr>
            <w:r>
              <w:rPr>
                <w:b/>
              </w:rPr>
              <w:t xml:space="preserve">Lateral Movement: </w:t>
            </w:r>
            <w:r>
              <w:t>Contact Mandiant Written by: JP Glab, Tufail Ahmed, Josh Kelley, Muhammad Umair Introduction Google Threat Intelligence Group (GTIG) identified a multistage intrusion campaign by a newly tracked threat group, UNC6692, th</w:t>
            </w:r>
          </w:p>
          <w:p>
            <w:pPr>
              <w:pStyle w:val="ListBullet"/>
            </w:pPr>
            <w:r>
              <w:rPr>
                <w:b/>
              </w:rPr>
              <w:t xml:space="preserve">Exfiltration: </w:t>
            </w:r>
            <w:r>
              <w:t>After extracting the process memory, UNC6692 exfiltrated it via LimeWire.</w:t>
            </w:r>
          </w:p>
        </w:tc>
      </w:tr>
      <w:tr>
        <w:tc>
          <w:tcPr>
            <w:tcW w:type="dxa" w:w="207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</w:rPr>
              <w:t>Attack Technique</w:t>
            </w:r>
          </w:p>
        </w:tc>
        <w:tc>
          <w:tcPr>
            <w:tcW w:type="dxa" w:w="6566"/>
            <w:tcMar>
              <w:top w:w="70" w:type="dxa"/>
              <w:bottom w:w="70" w:type="dxa"/>
              <w:left w:w="100" w:type="dxa"/>
              <w:right w:w="100" w:type="dxa"/>
            </w:tcMar>
          </w:tcPr>
          <w:p/>
          <w:p>
            <w:r>
              <w:t>How UNC6692 Employed Social Engineering to Deploy a Custom Malware Suite | Google Cloud Blog Threat Intelligence Snow Flurries: How UNC6692 Employed Social Engineering to Deploy a Custom Malware Suite April 24, 2026 Mandiant Mandiant Services Stop attacks, reduce risk, and advance your security. Once clicked, the user’s browser opened an HTML page and ultimately downloaded a renamed AutoHotKey binary and an AutoHotkey script, sharing the same name, from a threat actor-controlled AWS S3 bucket.</w:t>
            </w:r>
          </w:p>
          <w:p>
            <w:r>
              <w:t>The UNC6692 campaign demonstrates an interesting evolution in tactics, particularly the use of social engineering, custom malware, and a malicious browser extension, playing on the victim’s inherent trust in several different enterprise software providers. After extracting the process memory, UNC6692 exfiltrated it via LimeWire.</w:t>
            </w:r>
          </w:p>
        </w:tc>
      </w:tr>
      <w:tr>
        <w:tc>
          <w:tcPr>
            <w:tcW w:type="dxa" w:w="207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</w:rPr>
              <w:t>MITRE ATT&amp;CK Technique</w:t>
            </w:r>
          </w:p>
        </w:tc>
        <w:tc>
          <w:tcPr>
            <w:tcW w:type="dxa" w:w="6566"/>
            <w:tcMar>
              <w:top w:w="70" w:type="dxa"/>
              <w:bottom w:w="70" w:type="dxa"/>
              <w:left w:w="100" w:type="dxa"/>
              <w:right w:w="100" w:type="dxa"/>
            </w:tcMar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3283"/>
              <w:gridCol w:w="3283"/>
            </w:tblGrid>
            <w:tr>
              <w:tc>
                <w:tcPr>
                  <w:tcW w:type="dxa" w:w="3283"/>
                  <w:shd w:fill="2E4057"/>
                </w:tcPr>
                <w:p>
                  <w:r>
                    <w:rPr>
                      <w:b/>
                      <w:color w:val="FFFFFF"/>
                    </w:rPr>
                    <w:t>ID</w:t>
                  </w:r>
                </w:p>
              </w:tc>
              <w:tc>
                <w:tcPr>
                  <w:tcW w:type="dxa" w:w="3283"/>
                  <w:shd w:fill="2E4057"/>
                </w:tcPr>
                <w:p>
                  <w:r>
                    <w:rPr>
                      <w:b/>
                      <w:color w:val="FFFFFF"/>
                    </w:rPr>
                    <w:t>Technique</w:t>
                  </w:r>
                </w:p>
              </w:tc>
            </w:tr>
            <w:tr>
              <w:tc>
                <w:tcPr>
                  <w:tcW w:type="dxa" w:w="3283"/>
                </w:tcPr>
                <w:p>
                  <w:r>
                    <w:t>T1566.002</w:t>
                  </w:r>
                </w:p>
              </w:tc>
              <w:tc>
                <w:tcPr>
                  <w:tcW w:type="dxa" w:w="3283"/>
                </w:tcPr>
                <w:p>
                  <w:r>
                    <w:t>Spearphishing Link</w:t>
                  </w:r>
                </w:p>
              </w:tc>
            </w:tr>
            <w:tr>
              <w:tc>
                <w:tcPr>
                  <w:tcW w:type="dxa" w:w="3283"/>
                </w:tcPr>
                <w:p>
                  <w:r>
                    <w:t>T1053</w:t>
                  </w:r>
                </w:p>
              </w:tc>
              <w:tc>
                <w:tcPr>
                  <w:tcW w:type="dxa" w:w="3283"/>
                </w:tcPr>
                <w:p>
                  <w:r>
                    <w:t>Technique name not mapped</w:t>
                  </w:r>
                </w:p>
              </w:tc>
            </w:tr>
            <w:tr>
              <w:tc>
                <w:tcPr>
                  <w:tcW w:type="dxa" w:w="3283"/>
                </w:tcPr>
                <w:p>
                  <w:r>
                    <w:t>T1053.005</w:t>
                  </w:r>
                </w:p>
              </w:tc>
              <w:tc>
                <w:tcPr>
                  <w:tcW w:type="dxa" w:w="3283"/>
                </w:tcPr>
                <w:p>
                  <w:r>
                    <w:t>Technique name not mapped</w:t>
                  </w:r>
                </w:p>
              </w:tc>
            </w:tr>
            <w:tr>
              <w:tc>
                <w:tcPr>
                  <w:tcW w:type="dxa" w:w="3283"/>
                </w:tcPr>
                <w:p>
                  <w:r>
                    <w:t>T1059</w:t>
                  </w:r>
                </w:p>
              </w:tc>
              <w:tc>
                <w:tcPr>
                  <w:tcW w:type="dxa" w:w="3283"/>
                </w:tcPr>
                <w:p>
                  <w:r>
                    <w:t>Technique name not mapped</w:t>
                  </w:r>
                </w:p>
              </w:tc>
            </w:tr>
            <w:tr>
              <w:tc>
                <w:tcPr>
                  <w:tcW w:type="dxa" w:w="3283"/>
                </w:tcPr>
                <w:p>
                  <w:r>
                    <w:t>T1059.001</w:t>
                  </w:r>
                </w:p>
              </w:tc>
              <w:tc>
                <w:tcPr>
                  <w:tcW w:type="dxa" w:w="3283"/>
                </w:tcPr>
                <w:p>
                  <w:r>
                    <w:t>PowerShell</w:t>
                  </w:r>
                </w:p>
              </w:tc>
            </w:tr>
            <w:tr>
              <w:tc>
                <w:tcPr>
                  <w:tcW w:type="dxa" w:w="3283"/>
                </w:tcPr>
                <w:p>
                  <w:r>
                    <w:t>T1059.003</w:t>
                  </w:r>
                </w:p>
              </w:tc>
              <w:tc>
                <w:tcPr>
                  <w:tcW w:type="dxa" w:w="3283"/>
                </w:tcPr>
                <w:p>
                  <w:r>
                    <w:t>Windows Command Shell</w:t>
                  </w:r>
                </w:p>
              </w:tc>
            </w:tr>
            <w:tr>
              <w:tc>
                <w:tcPr>
                  <w:tcW w:type="dxa" w:w="3283"/>
                </w:tcPr>
                <w:p>
                  <w:r>
                    <w:t>T1059.006</w:t>
                  </w:r>
                </w:p>
              </w:tc>
              <w:tc>
                <w:tcPr>
                  <w:tcW w:type="dxa" w:w="3283"/>
                </w:tcPr>
                <w:p>
                  <w:r>
                    <w:t>Technique name not mapped</w:t>
                  </w:r>
                </w:p>
              </w:tc>
            </w:tr>
            <w:tr>
              <w:tc>
                <w:tcPr>
                  <w:tcW w:type="dxa" w:w="3283"/>
                </w:tcPr>
                <w:p>
                  <w:r>
                    <w:t>T1059.007</w:t>
                  </w:r>
                </w:p>
              </w:tc>
              <w:tc>
                <w:tcPr>
                  <w:tcW w:type="dxa" w:w="3283"/>
                </w:tcPr>
                <w:p>
                  <w:r>
                    <w:t>Technique name not mapped</w:t>
                  </w:r>
                </w:p>
              </w:tc>
            </w:tr>
            <w:tr>
              <w:tc>
                <w:tcPr>
                  <w:tcW w:type="dxa" w:w="3283"/>
                </w:tcPr>
                <w:p>
                  <w:r>
                    <w:t>T1059.010</w:t>
                  </w:r>
                </w:p>
              </w:tc>
              <w:tc>
                <w:tcPr>
                  <w:tcW w:type="dxa" w:w="3283"/>
                </w:tcPr>
                <w:p>
                  <w:r>
                    <w:t>Technique name not mapped</w:t>
                  </w:r>
                </w:p>
              </w:tc>
            </w:tr>
            <w:tr>
              <w:tc>
                <w:tcPr>
                  <w:tcW w:type="dxa" w:w="3283"/>
                </w:tcPr>
                <w:p>
                  <w:r>
                    <w:t>T1204.001</w:t>
                  </w:r>
                </w:p>
              </w:tc>
              <w:tc>
                <w:tcPr>
                  <w:tcW w:type="dxa" w:w="3283"/>
                </w:tcPr>
                <w:p>
                  <w:r>
                    <w:t>User Execution: Malicious Link</w:t>
                  </w:r>
                </w:p>
              </w:tc>
            </w:tr>
            <w:tr>
              <w:tc>
                <w:tcPr>
                  <w:tcW w:type="dxa" w:w="3283"/>
                </w:tcPr>
                <w:p>
                  <w:r>
                    <w:t>T1204.002</w:t>
                  </w:r>
                </w:p>
              </w:tc>
              <w:tc>
                <w:tcPr>
                  <w:tcW w:type="dxa" w:w="3283"/>
                </w:tcPr>
                <w:p>
                  <w:r>
                    <w:t>User Execution: Malicious File</w:t>
                  </w:r>
                </w:p>
              </w:tc>
            </w:tr>
            <w:tr>
              <w:tc>
                <w:tcPr>
                  <w:tcW w:type="dxa" w:w="3283"/>
                </w:tcPr>
                <w:p>
                  <w:r>
                    <w:t>T1559</w:t>
                  </w:r>
                </w:p>
              </w:tc>
              <w:tc>
                <w:tcPr>
                  <w:tcW w:type="dxa" w:w="3283"/>
                </w:tcPr>
                <w:p>
                  <w:r>
                    <w:t>Technique name not mapped</w:t>
                  </w:r>
                </w:p>
              </w:tc>
            </w:tr>
          </w:tbl>
          <w:p/>
        </w:tc>
      </w:tr>
      <w:tr>
        <w:tc>
          <w:tcPr>
            <w:tcW w:type="dxa" w:w="207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</w:rPr>
              <w:t>IOCs</w:t>
            </w:r>
          </w:p>
        </w:tc>
        <w:tc>
          <w:tcPr>
            <w:tcW w:type="dxa" w:w="6566"/>
            <w:tcMar>
              <w:top w:w="70" w:type="dxa"/>
              <w:bottom w:w="70" w:type="dxa"/>
              <w:left w:w="100" w:type="dxa"/>
              <w:right w:w="100" w:type="dxa"/>
            </w:tcMar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3283"/>
              <w:gridCol w:w="3283"/>
            </w:tblGrid>
            <w:tr>
              <w:tc>
                <w:tcPr>
                  <w:tcW w:type="dxa" w:w="3283"/>
                </w:tcPr>
                <w:p>
                  <w:r>
                    <w:rPr>
                      <w:b/>
                    </w:rPr>
                    <w:t>Type</w:t>
                  </w:r>
                </w:p>
              </w:tc>
              <w:tc>
                <w:tcPr>
                  <w:tcW w:type="dxa" w:w="3283"/>
                </w:tcPr>
                <w:p>
                  <w:r>
                    <w:rPr>
                      <w:b/>
                    </w:rPr>
                    <w:t>Value</w:t>
                  </w:r>
                </w:p>
              </w:tc>
            </w:tr>
            <w:tr>
              <w:tc>
                <w:tcPr>
                  <w:tcW w:type="dxa" w:w="3283"/>
                </w:tcPr>
                <w:p>
                  <w:r>
                    <w:t>Domain</w:t>
                  </w:r>
                </w:p>
              </w:tc>
              <w:tc>
                <w:tcPr>
                  <w:tcW w:type="dxa" w:w="3283"/>
                </w:tcPr>
                <w:p>
                  <w:r>
                    <w:t>ntds.dit</w:t>
                  </w:r>
                </w:p>
              </w:tc>
            </w:tr>
            <w:tr>
              <w:tc>
                <w:tcPr>
                  <w:tcW w:type="dxa" w:w="3283"/>
                </w:tcPr>
                <w:p>
                  <w:r>
                    <w:t>Domain</w:t>
                  </w:r>
                </w:p>
              </w:tc>
              <w:tc>
                <w:tcPr>
                  <w:tcW w:type="dxa" w:w="3283"/>
                </w:tcPr>
                <w:p>
                  <w:r>
                    <w:t>service-page-18968-2419-outlook.s3.us-west-2.amazonaws.com</w:t>
                  </w:r>
                </w:p>
              </w:tc>
            </w:tr>
            <w:tr>
              <w:tc>
                <w:tcPr>
                  <w:tcW w:type="dxa" w:w="3283"/>
                </w:tcPr>
                <w:p>
                  <w:r>
                    <w:t>Domain</w:t>
                  </w:r>
                </w:p>
              </w:tc>
              <w:tc>
                <w:tcPr>
                  <w:tcW w:type="dxa" w:w="3283"/>
                </w:tcPr>
                <w:p>
                  <w:r>
                    <w:t>service-page-25144-30466-outlook.s3.us-west-2.amazonaws.com</w:t>
                  </w:r>
                </w:p>
              </w:tc>
            </w:tr>
            <w:tr>
              <w:tc>
                <w:tcPr>
                  <w:tcW w:type="dxa" w:w="3283"/>
                </w:tcPr>
                <w:p>
                  <w:r>
                    <w:t>Domain</w:t>
                  </w:r>
                </w:p>
              </w:tc>
              <w:tc>
                <w:tcPr>
                  <w:tcW w:type="dxa" w:w="3283"/>
                </w:tcPr>
                <w:p>
                  <w:r>
                    <w:t>update.html</w:t>
                  </w:r>
                </w:p>
              </w:tc>
            </w:tr>
          </w:tbl>
          <w:p/>
        </w:tc>
      </w:tr>
      <w:tr>
        <w:tc>
          <w:tcPr>
            <w:tcW w:type="dxa" w:w="207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</w:rPr>
              <w:t>Impacts</w:t>
            </w:r>
          </w:p>
        </w:tc>
        <w:tc>
          <w:tcPr>
            <w:tcW w:type="dxa" w:w="6566"/>
            <w:tcMar>
              <w:top w:w="70" w:type="dxa"/>
              <w:bottom w:w="70" w:type="dxa"/>
              <w:left w:w="100" w:type="dxa"/>
              <w:right w:w="100" w:type="dxa"/>
            </w:tcMar>
          </w:tcPr>
          <w:p/>
          <w:p>
            <w:pPr>
              <w:pStyle w:val="ListBullet"/>
            </w:pPr>
            <w:r>
              <w:t>Compromise of privileged and user credentials can lead to unauthorized access across Active Directory and connected SaaS systems.</w:t>
            </w:r>
          </w:p>
          <w:p>
            <w:pPr>
              <w:pStyle w:val="ListBullet"/>
            </w:pPr>
            <w:r>
              <w:t>Exposure of browser-stored and in-memory credentials increases risk of account takeover and sustained adversary persistence.</w:t>
            </w:r>
          </w:p>
          <w:p>
            <w:pPr>
              <w:pStyle w:val="ListBullet"/>
            </w:pPr>
            <w:r>
              <w:t>Exfiltration of internal documents and session artifacts can cause data-loss, legal, and regulatory reporting impact.</w:t>
            </w:r>
          </w:p>
          <w:p>
            <w:pPr>
              <w:pStyle w:val="ListBullet"/>
            </w:pPr>
            <w:r>
              <w:t>Stolen authentication data can be reused for follow-on intrusion, lateral movement, and long-term espionage activity.</w:t>
            </w:r>
          </w:p>
        </w:tc>
      </w:tr>
      <w:tr>
        <w:tc>
          <w:tcPr>
            <w:tcW w:type="dxa" w:w="207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</w:rPr>
              <w:t>Affected Products</w:t>
            </w:r>
          </w:p>
        </w:tc>
        <w:tc>
          <w:tcPr>
            <w:tcW w:type="dxa" w:w="6566"/>
            <w:tcMar>
              <w:top w:w="70" w:type="dxa"/>
              <w:bottom w:w="70" w:type="dxa"/>
              <w:left w:w="100" w:type="dxa"/>
              <w:right w:w="100" w:type="dxa"/>
            </w:tcMar>
          </w:tcPr>
          <w:p/>
          <w:p>
            <w:pPr>
              <w:pStyle w:val="ListBullet"/>
            </w:pPr>
            <w:r>
              <w:t>Microsoft Windows</w:t>
            </w:r>
          </w:p>
          <w:p>
            <w:pPr>
              <w:pStyle w:val="ListBullet"/>
            </w:pPr>
            <w:r>
              <w:t>Linux</w:t>
            </w:r>
          </w:p>
          <w:p>
            <w:pPr>
              <w:pStyle w:val="ListBullet"/>
            </w:pPr>
            <w:r>
              <w:t>Microsoft Teams</w:t>
            </w:r>
          </w:p>
          <w:p>
            <w:pPr>
              <w:pStyle w:val="ListBullet"/>
            </w:pPr>
            <w:r>
              <w:t>Microsoft Teams</w:t>
            </w:r>
          </w:p>
          <w:p>
            <w:pPr>
              <w:pStyle w:val="ListBullet"/>
            </w:pPr>
            <w:r>
              <w:t>Microsoft Edge</w:t>
            </w:r>
          </w:p>
          <w:p>
            <w:pPr>
              <w:pStyle w:val="ListBullet"/>
            </w:pPr>
            <w:r>
              <w:t>Google Chrome</w:t>
            </w:r>
          </w:p>
        </w:tc>
      </w:tr>
      <w:tr>
        <w:tc>
          <w:tcPr>
            <w:tcW w:type="dxa" w:w="207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</w:rPr>
              <w:t>Recommended Action</w:t>
            </w:r>
          </w:p>
        </w:tc>
        <w:tc>
          <w:tcPr>
            <w:tcW w:type="dxa" w:w="6566"/>
            <w:tcMar>
              <w:top w:w="70" w:type="dxa"/>
              <w:bottom w:w="70" w:type="dxa"/>
              <w:left w:w="100" w:type="dxa"/>
              <w:right w:w="100" w:type="dxa"/>
            </w:tcMar>
          </w:tcPr>
          <w:p/>
          <w:p>
            <w:r>
              <w:rPr>
                <w:b/>
              </w:rPr>
              <w:t>Organisational Control</w:t>
            </w:r>
          </w:p>
          <w:p>
            <w:pPr>
              <w:pStyle w:val="ListBullet"/>
            </w:pPr>
            <w:r>
              <w:t>Enforce social-engineering response procedures for helpdesk and security operations.</w:t>
            </w:r>
          </w:p>
          <w:p>
            <w:pPr>
              <w:pStyle w:val="ListBullet"/>
            </w:pPr>
            <w:r>
              <w:t>Require high-risk user verification steps for external collaboration and urgent file requests.</w:t>
            </w:r>
          </w:p>
          <w:p>
            <w:r>
              <w:rPr>
                <w:b/>
              </w:rPr>
              <w:t>Technological Control</w:t>
            </w:r>
          </w:p>
          <w:p>
            <w:pPr>
              <w:pStyle w:val="ListBullet"/>
            </w:pPr>
            <w:r>
              <w:t>Restrict Microsoft Teams external chat/file-delivery pathways and block untrusted file types.</w:t>
            </w:r>
          </w:p>
          <w:p>
            <w:pPr>
              <w:pStyle w:val="ListBullet"/>
            </w:pPr>
            <w:r>
              <w:t>Alert on AutoHotKey execution and unsigned script launches from user-profile and temp paths.</w:t>
            </w:r>
          </w:p>
          <w:p>
            <w:pPr>
              <w:pStyle w:val="ListBullet"/>
            </w:pPr>
            <w:r>
              <w:t>Monitor for LSASS memory access and credential-dumping behavior from non-admin processes.</w:t>
            </w:r>
          </w:p>
          <w:p>
            <w:pPr>
              <w:pStyle w:val="ListBullet"/>
            </w:pPr>
            <w:r>
              <w:t>Deploy browser-extension control and telemetry for Edge/Chrome to detect malicious add-ons.</w:t>
            </w:r>
          </w:p>
          <w:p>
            <w:pPr>
              <w:pStyle w:val="ListBullet"/>
            </w:pPr>
            <w:r>
              <w:t>Block known IOC hashes/domains and enable detections for matching process ancestry.</w:t>
            </w:r>
          </w:p>
          <w:p>
            <w:r>
              <w:rPr>
                <w:b/>
              </w:rPr>
              <w:t>People Control</w:t>
            </w:r>
          </w:p>
          <w:p>
            <w:pPr>
              <w:pStyle w:val="ListBullet"/>
            </w:pPr>
            <w:r>
              <w:t>Train users to treat Teams-delivered installers/scripts as suspicious by default.</w:t>
            </w:r>
          </w:p>
          <w:p>
            <w:pPr>
              <w:pStyle w:val="ListBullet"/>
            </w:pPr>
            <w:r>
              <w:t>Brief administrators on immediate containment actions for suspected credential theft events.</w:t>
            </w:r>
          </w:p>
          <w:p>
            <w:r>
              <w:rPr>
                <w:b/>
              </w:rPr>
              <w:t>Physical Control</w:t>
            </w:r>
          </w:p>
          <w:p>
            <w:pPr>
              <w:pStyle w:val="ListBullet"/>
            </w:pPr>
            <w:r>
              <w:t>Restrict access to privileged admin workstations used for identity and directory operations.</w:t>
            </w:r>
          </w:p>
        </w:tc>
      </w:tr>
      <w:tr>
        <w:tc>
          <w:tcPr>
            <w:tcW w:type="dxa" w:w="207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</w:rPr>
              <w:t>References</w:t>
            </w:r>
          </w:p>
        </w:tc>
        <w:tc>
          <w:tcPr>
            <w:tcW w:type="dxa" w:w="6566"/>
            <w:tcMar>
              <w:top w:w="70" w:type="dxa"/>
              <w:bottom w:w="70" w:type="dxa"/>
              <w:left w:w="100" w:type="dxa"/>
              <w:right w:w="100" w:type="dxa"/>
            </w:tcMar>
          </w:tcPr>
          <w:p/>
          <w:p>
            <w:r>
              <w:t>1. https://cloud.google.com/blog/topics/threat-intelligence/unc6692-social-engineering-custom-malware</w:t>
            </w:r>
          </w:p>
        </w:tc>
      </w:tr>
      <w:tr>
        <w:trPr>
          <w:trHeight w:val="2520" w:hRule="exact"/>
        </w:trPr>
        <w:tc>
          <w:tcPr>
            <w:tcW w:type="dxa" w:w="8640"/>
            <w:gridSpan w:val="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25823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oter Image_Advisory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582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