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r>
              <w:t>TIA-260424-01</w:t>
            </w:r>
          </w:p>
        </w:tc>
        <w:tc>
          <w:tcPr>
            <w:tcW w:type="dxa" w:w="4320"/>
          </w:tcPr>
          <w:p>
            <w:r>
              <w:rPr>
                <w:b/>
                <w:sz w:val="28"/>
              </w:rPr>
              <w:t>Kyber Ransomware Double Trouble: Windows and ESXi Attacks Explained Back to Blog Threat Research Kyber Ransomware Double</w:t>
            </w:r>
          </w:p>
        </w:tc>
      </w:tr>
      <w:tr>
        <w:tc>
          <w:tcPr>
            <w:tcW w:type="dxa" w:w="8640"/>
            <w:gridSpan w:val="2"/>
          </w:tcPr>
          <w:p>
            <w:r>
              <w:rPr>
                <w:color w:val="B0B0B0"/>
              </w:rPr>
              <w:t>[Image Placeholder]</w:t>
            </w:r>
          </w:p>
        </w:tc>
      </w:tr>
    </w:tbl>
    <w:p/>
    <w:tbl>
      <w:tblPr>
        <w:tblStyle w:val="TableGrid"/>
        <w:tblW w:type="auto" w:w="0"/>
        <w:tblLook w:firstColumn="1" w:firstRow="1" w:lastColumn="0" w:lastRow="0" w:noHBand="0" w:noVBand="1" w:val="04A0"/>
      </w:tblPr>
      <w:tblGrid>
        <w:gridCol w:w="2600"/>
        <w:gridCol w:w="7600"/>
      </w:tblGrid>
      <w:tr>
        <w:tc>
          <w:tcPr>
            <w:tcW w:type="dxa" w:w="2600"/>
          </w:tcPr>
          <w:p>
            <w:r>
              <w:rPr>
                <w:b/>
              </w:rPr>
              <w:t>Overview</w:t>
            </w:r>
          </w:p>
        </w:tc>
        <w:tc>
          <w:tcPr>
            <w:tcW w:type="dxa" w:w="7600"/>
          </w:tcPr>
          <w:p>
            <w:r>
              <w:t>This cross-platform approach, coupled with effective anti-recovery measures, drastically elevates the risk of a total operational disruption. Organizations should treat Kyber not merely as another ransomware strain, but as a specialized tool capable of causing a complete operational blackout. Recent real-world incidents have demonstrated that this approach can result in large-scale operational impact across enterprise environments. During a March 2026 incident response engagement, Rapid7 recovered two Kyber ransomware payloads deployed in the same environment, one targeting VMware ESXi infrastructure and the other Windows file servers.</w:t>
            </w:r>
          </w:p>
        </w:tc>
      </w:tr>
      <w:tr>
        <w:tc>
          <w:tcPr>
            <w:tcW w:type="dxa" w:w="2600"/>
          </w:tcPr>
          <w:p>
            <w:r>
              <w:rPr>
                <w:b/>
              </w:rPr>
              <w:t>Threat Severity</w:t>
            </w:r>
          </w:p>
        </w:tc>
        <w:tc>
          <w:tcPr>
            <w:tcW w:type="dxa" w:w="7600"/>
          </w:tcPr>
          <w:p>
            <w:r>
              <w:rPr>
                <w:b/>
                <w:color w:val="FF0000"/>
              </w:rPr>
              <w:t>High</w:t>
            </w:r>
          </w:p>
        </w:tc>
      </w:tr>
      <w:tr>
        <w:tc>
          <w:tcPr>
            <w:tcW w:type="dxa" w:w="2600"/>
          </w:tcPr>
          <w:p>
            <w:r>
              <w:rPr>
                <w:b/>
              </w:rPr>
              <w:t>Targeted Region</w:t>
            </w:r>
          </w:p>
        </w:tc>
        <w:tc>
          <w:tcPr>
            <w:tcW w:type="dxa" w:w="7600"/>
          </w:tcPr>
          <w:p>
            <w:r>
              <w:t>Global (inferred)</w:t>
            </w:r>
          </w:p>
        </w:tc>
      </w:tr>
      <w:tr>
        <w:tc>
          <w:tcPr>
            <w:tcW w:type="dxa" w:w="2600"/>
          </w:tcPr>
          <w:p>
            <w:r>
              <w:rPr>
                <w:b/>
              </w:rPr>
              <w:t>Targeted Sector</w:t>
            </w:r>
          </w:p>
        </w:tc>
        <w:tc>
          <w:tcPr>
            <w:tcW w:type="dxa" w:w="7600"/>
          </w:tcPr>
          <w:p>
            <w:r>
              <w:t>Multiple Sectors (inferred)</w:t>
            </w:r>
          </w:p>
        </w:tc>
      </w:tr>
      <w:tr>
        <w:tc>
          <w:tcPr>
            <w:tcW w:type="dxa" w:w="2600"/>
          </w:tcPr>
          <w:p>
            <w:r>
              <w:rPr>
                <w:b/>
              </w:rPr>
              <w:t>Attack Vector</w:t>
            </w:r>
          </w:p>
        </w:tc>
        <w:tc>
          <w:tcPr>
            <w:tcW w:type="dxa" w:w="7600"/>
          </w:tcPr>
          <w:p/>
          <w:p>
            <w:pPr>
              <w:pStyle w:val="ListBullet"/>
            </w:pPr>
            <w:r>
              <w:rPr>
                <w:b/>
              </w:rPr>
              <w:t xml:space="preserve">Initial Access: </w:t>
            </w:r>
            <w:r>
              <w:t>Adversary gains entry using exposed remote access, stolen credentials, or social engineering.</w:t>
            </w:r>
          </w:p>
          <w:p>
            <w:pPr>
              <w:pStyle w:val="ListBullet"/>
            </w:pPr>
            <w:r>
              <w:rPr>
                <w:b/>
              </w:rPr>
              <w:t xml:space="preserve">Lateral Movement: </w:t>
            </w:r>
            <w:r>
              <w:t>Threat propagates across systems and administrative trust paths.</w:t>
            </w:r>
          </w:p>
          <w:p>
            <w:pPr>
              <w:pStyle w:val="ListBullet"/>
            </w:pPr>
            <w:r>
              <w:rPr>
                <w:b/>
              </w:rPr>
              <w:t xml:space="preserve">Execution: </w:t>
            </w:r>
            <w:r>
              <w:t>Native scripting and command interpreters are used to launch malicious actions.</w:t>
            </w:r>
          </w:p>
          <w:p>
            <w:pPr>
              <w:pStyle w:val="ListBullet"/>
            </w:pPr>
            <w:r>
              <w:rPr>
                <w:b/>
              </w:rPr>
              <w:t xml:space="preserve">Payload Delivery: </w:t>
            </w:r>
            <w:r>
              <w:t>Ransomware payload is executed to encrypt data and disrupt operations.</w:t>
            </w:r>
          </w:p>
        </w:tc>
      </w:tr>
      <w:tr>
        <w:tc>
          <w:tcPr>
            <w:tcW w:type="dxa" w:w="2600"/>
          </w:tcPr>
          <w:p>
            <w:r>
              <w:rPr>
                <w:b/>
              </w:rPr>
              <w:t>Attack Technique</w:t>
            </w:r>
          </w:p>
        </w:tc>
        <w:tc>
          <w:tcPr>
            <w:tcW w:type="dxa" w:w="7600"/>
          </w:tcPr>
          <w:p/>
          <w:p>
            <w:r>
              <w:t>The threat follows a coordinated multi-stage workflow where attackers establish access, execute payloads, and inhibit recovery capabilities to maximize impact.</w:t>
            </w:r>
          </w:p>
          <w:p>
            <w:r>
              <w:t>Observed tradecraft includes use of native administration tools, selective service disruption, and encryption routines that impair business continuity.</w:t>
            </w:r>
          </w:p>
          <w:p>
            <w:r>
              <w:t>Campaign behavior suggests deliberate operator control with extortion-driven objectives and persistence through operational disruption.</w:t>
            </w:r>
          </w:p>
        </w:tc>
      </w:tr>
      <w:tr>
        <w:tc>
          <w:tcPr>
            <w:tcW w:type="dxa" w:w="2600"/>
          </w:tcPr>
          <w:p>
            <w:r>
              <w:rPr>
                <w:b/>
              </w:rPr>
              <w:t>MITRE ATT&amp;CK Technique</w:t>
            </w:r>
          </w:p>
        </w:tc>
        <w:tc>
          <w:tcPr>
            <w:tcW w:type="dxa" w:w="7600"/>
          </w:tcPr>
          <w:p/>
          <w:tbl>
            <w:tblPr>
              <w:tblW w:type="auto" w:w="0"/>
              <w:tblLook w:firstColumn="1" w:firstRow="1" w:lastColumn="0" w:lastRow="0" w:noHBand="0" w:noVBand="1" w:val="04A0"/>
            </w:tblPr>
            <w:tblGrid>
              <w:gridCol w:w="3800"/>
              <w:gridCol w:w="3800"/>
            </w:tblGrid>
            <w:tr>
              <w:tc>
                <w:tcPr>
                  <w:tcW w:type="dxa" w:w="3800"/>
                  <w:shd w:fill="2E4057"/>
                </w:tcPr>
                <w:p>
                  <w:r>
                    <w:rPr>
                      <w:b/>
                      <w:color w:val="FFFFFF"/>
                    </w:rPr>
                    <w:t>ID</w:t>
                  </w:r>
                </w:p>
              </w:tc>
              <w:tc>
                <w:tcPr>
                  <w:tcW w:type="dxa" w:w="3800"/>
                  <w:shd w:fill="2E4057"/>
                </w:tcPr>
                <w:p>
                  <w:r>
                    <w:rPr>
                      <w:b/>
                      <w:color w:val="FFFFFF"/>
                    </w:rPr>
                    <w:t>Technique</w:t>
                  </w:r>
                </w:p>
              </w:tc>
            </w:tr>
            <w:tr>
              <w:tc>
                <w:tcPr>
                  <w:tcW w:type="dxa" w:w="3800"/>
                </w:tcPr>
                <w:p>
                  <w:r>
                    <w:t>T1486</w:t>
                  </w:r>
                </w:p>
              </w:tc>
              <w:tc>
                <w:tcPr>
                  <w:tcW w:type="dxa" w:w="3800"/>
                </w:tcPr>
                <w:p>
                  <w:r>
                    <w:t>Data Encrypted for Impact</w:t>
                  </w:r>
                </w:p>
              </w:tc>
            </w:tr>
            <w:tr>
              <w:tc>
                <w:tcPr>
                  <w:tcW w:type="dxa" w:w="3800"/>
                </w:tcPr>
                <w:p>
                  <w:r>
                    <w:t>T1485</w:t>
                  </w:r>
                </w:p>
              </w:tc>
              <w:tc>
                <w:tcPr>
                  <w:tcW w:type="dxa" w:w="3800"/>
                </w:tcPr>
                <w:p>
                  <w:r>
                    <w:t>Data Destruction</w:t>
                  </w:r>
                </w:p>
              </w:tc>
            </w:tr>
            <w:tr>
              <w:tc>
                <w:tcPr>
                  <w:tcW w:type="dxa" w:w="3800"/>
                </w:tcPr>
                <w:p>
                  <w:r>
                    <w:t>T1489</w:t>
                  </w:r>
                </w:p>
              </w:tc>
              <w:tc>
                <w:tcPr>
                  <w:tcW w:type="dxa" w:w="3800"/>
                </w:tcPr>
                <w:p>
                  <w:r>
                    <w:t>Service Stop</w:t>
                  </w:r>
                </w:p>
              </w:tc>
            </w:tr>
            <w:tr>
              <w:tc>
                <w:tcPr>
                  <w:tcW w:type="dxa" w:w="3800"/>
                </w:tcPr>
                <w:p>
                  <w:r>
                    <w:t>T1070.001</w:t>
                  </w:r>
                </w:p>
              </w:tc>
              <w:tc>
                <w:tcPr>
                  <w:tcW w:type="dxa" w:w="3800"/>
                </w:tcPr>
                <w:p>
                  <w:r>
                    <w:t>Indicator Removal: Clear Windows Event Logs</w:t>
                  </w:r>
                </w:p>
              </w:tc>
            </w:tr>
            <w:tr>
              <w:tc>
                <w:tcPr>
                  <w:tcW w:type="dxa" w:w="3800"/>
                </w:tcPr>
                <w:p>
                  <w:r>
                    <w:t>T1021.004</w:t>
                  </w:r>
                </w:p>
              </w:tc>
              <w:tc>
                <w:tcPr>
                  <w:tcW w:type="dxa" w:w="3800"/>
                </w:tcPr>
                <w:p>
                  <w:r>
                    <w:t>Remote Services: SSH</w:t>
                  </w:r>
                </w:p>
              </w:tc>
            </w:tr>
            <w:tr>
              <w:tc>
                <w:tcPr>
                  <w:tcW w:type="dxa" w:w="3800"/>
                </w:tcPr>
                <w:p>
                  <w:r>
                    <w:t>T1562.001</w:t>
                  </w:r>
                </w:p>
              </w:tc>
              <w:tc>
                <w:tcPr>
                  <w:tcW w:type="dxa" w:w="3800"/>
                </w:tcPr>
                <w:p>
                  <w:r>
                    <w:t>Impair Defenses: Disable or Modify Tools</w:t>
                  </w:r>
                </w:p>
              </w:tc>
            </w:tr>
            <w:tr>
              <w:tc>
                <w:tcPr>
                  <w:tcW w:type="dxa" w:w="3800"/>
                </w:tcPr>
                <w:p>
                  <w:r>
                    <w:t>T1059.001</w:t>
                  </w:r>
                </w:p>
              </w:tc>
              <w:tc>
                <w:tcPr>
                  <w:tcW w:type="dxa" w:w="3800"/>
                </w:tcPr>
                <w:p>
                  <w:r>
                    <w:t>Command and Scripting Interpreter: PowerShell</w:t>
                  </w:r>
                </w:p>
              </w:tc>
            </w:tr>
            <w:tr>
              <w:tc>
                <w:tcPr>
                  <w:tcW w:type="dxa" w:w="3800"/>
                </w:tcPr>
                <w:p>
                  <w:r>
                    <w:t>T1082</w:t>
                  </w:r>
                </w:p>
              </w:tc>
              <w:tc>
                <w:tcPr>
                  <w:tcW w:type="dxa" w:w="3800"/>
                </w:tcPr>
                <w:p>
                  <w:r>
                    <w:t>System Information Discovery</w:t>
                  </w:r>
                </w:p>
              </w:tc>
            </w:tr>
            <w:tr>
              <w:tc>
                <w:tcPr>
                  <w:tcW w:type="dxa" w:w="3800"/>
                </w:tcPr>
                <w:p>
                  <w:r>
                    <w:t>T1112</w:t>
                  </w:r>
                </w:p>
              </w:tc>
              <w:tc>
                <w:tcPr>
                  <w:tcW w:type="dxa" w:w="3800"/>
                </w:tcPr>
                <w:p>
                  <w:r>
                    <w:t>Modify Registry</w:t>
                  </w:r>
                </w:p>
              </w:tc>
            </w:tr>
            <w:tr>
              <w:tc>
                <w:tcPr>
                  <w:tcW w:type="dxa" w:w="3800"/>
                </w:tcPr>
                <w:p>
                  <w:r>
                    <w:t>T1491.001</w:t>
                  </w:r>
                </w:p>
              </w:tc>
              <w:tc>
                <w:tcPr>
                  <w:tcW w:type="dxa" w:w="3800"/>
                </w:tcPr>
                <w:p>
                  <w:r>
                    <w:t>Defacement: Internal Defacement</w:t>
                  </w:r>
                </w:p>
              </w:tc>
            </w:tr>
          </w:tbl>
          <w:p/>
        </w:tc>
      </w:tr>
      <w:tr>
        <w:tc>
          <w:tcPr>
            <w:tcW w:type="dxa" w:w="2600"/>
          </w:tcPr>
          <w:p>
            <w:r>
              <w:rPr>
                <w:b/>
              </w:rPr>
              <w:t>IOCs</w:t>
            </w:r>
          </w:p>
        </w:tc>
        <w:tc>
          <w:tcPr>
            <w:tcW w:type="dxa" w:w="7600"/>
          </w:tcPr>
          <w:p/>
          <w:p>
            <w:pPr>
              <w:pStyle w:val="ListBullet"/>
            </w:pPr>
            <w:r>
              <w:rPr>
                <w:b/>
              </w:rPr>
              <w:t xml:space="preserve">SHA-256: </w:t>
            </w:r>
            <w:r>
              <w:t>45bff0df2c408b3f589aed984cc331b617021ecbea57171dac719b5f545f5e8d, 4ed176edb75ae2114cda8cfb3f83ac2ecdc4476fa1ef30ad8c81a54c0a223a29, 6ccacb7567b6c0bd2ca8e68ff59d5ef21e8f47fc1af70d4d88a421f1fc5280fc</w:t>
            </w:r>
          </w:p>
          <w:p>
            <w:pPr>
              <w:pStyle w:val="ListBullet"/>
            </w:pPr>
            <w:r>
              <w:rPr>
                <w:b/>
              </w:rPr>
              <w:t xml:space="preserve">Domain: </w:t>
            </w:r>
            <w:r>
              <w:t>Recycle.Bin, autorun.inf, bcdedit.exe, boomplay.com, boot.ini, bootfont.bin, bootsect.bak, desktop.ini</w:t>
            </w:r>
          </w:p>
          <w:p>
            <w:pPr>
              <w:pStyle w:val="ListBullet"/>
            </w:pPr>
            <w:r>
              <w:rPr>
                <w:b/>
              </w:rPr>
              <w:t xml:space="preserve">File Name: </w:t>
            </w:r>
            <w:r>
              <w:t>READ_ME_NOW.txt, bcdedit.exe, ie4uinit.exe, iisreset.exe, readme.txt, vssadmin.exe, wevtutil.exe, wmic.exe</w:t>
            </w:r>
          </w:p>
        </w:tc>
      </w:tr>
      <w:tr>
        <w:tc>
          <w:tcPr>
            <w:tcW w:type="dxa" w:w="2600"/>
          </w:tcPr>
          <w:p>
            <w:r>
              <w:rPr>
                <w:b/>
              </w:rPr>
              <w:t>Impacts</w:t>
            </w:r>
          </w:p>
        </w:tc>
        <w:tc>
          <w:tcPr>
            <w:tcW w:type="dxa" w:w="7600"/>
          </w:tcPr>
          <w:p/>
          <w:p>
            <w:pPr>
              <w:pStyle w:val="ListBullet"/>
            </w:pPr>
            <w:r>
              <w:t>Operational disruption due to encryption or service interruption.</w:t>
            </w:r>
          </w:p>
          <w:p>
            <w:pPr>
              <w:pStyle w:val="ListBullet"/>
            </w:pPr>
            <w:r>
              <w:t>Potential data loss and prolonged recovery timelines.</w:t>
            </w:r>
          </w:p>
          <w:p>
            <w:pPr>
              <w:pStyle w:val="ListBullet"/>
            </w:pPr>
            <w:r>
              <w:t>Financial losses from downtime, remediation, and possible extortion demands.</w:t>
            </w:r>
          </w:p>
          <w:p>
            <w:pPr>
              <w:pStyle w:val="ListBullet"/>
            </w:pPr>
            <w:r>
              <w:t>Reputational and compliance exposure if sensitive data is exfiltrated.</w:t>
            </w:r>
          </w:p>
          <w:p>
            <w:pPr>
              <w:pStyle w:val="ListBullet"/>
            </w:pPr>
            <w:r>
              <w:t>Increased risk of public data exposure through leak-site publication.</w:t>
            </w:r>
          </w:p>
          <w:p>
            <w:pPr>
              <w:pStyle w:val="ListBullet"/>
            </w:pPr>
            <w:r>
              <w:t>Recovery options may be degraded by backup or shadow copy tampering.</w:t>
            </w:r>
          </w:p>
        </w:tc>
      </w:tr>
      <w:tr>
        <w:tc>
          <w:tcPr>
            <w:tcW w:type="dxa" w:w="2600"/>
          </w:tcPr>
          <w:p>
            <w:r>
              <w:rPr>
                <w:b/>
              </w:rPr>
              <w:t>Affected Products</w:t>
            </w:r>
          </w:p>
        </w:tc>
        <w:tc>
          <w:tcPr>
            <w:tcW w:type="dxa" w:w="7600"/>
          </w:tcPr>
          <w:p/>
          <w:p>
            <w:pPr>
              <w:pStyle w:val="ListBullet"/>
            </w:pPr>
            <w:r>
              <w:t>Microsoft Windows</w:t>
            </w:r>
          </w:p>
          <w:p>
            <w:pPr>
              <w:pStyle w:val="ListBullet"/>
            </w:pPr>
            <w:r>
              <w:t>VMware ESXi</w:t>
            </w:r>
          </w:p>
          <w:p>
            <w:pPr>
              <w:pStyle w:val="ListBullet"/>
            </w:pPr>
            <w:r>
              <w:t>Linux</w:t>
            </w:r>
          </w:p>
          <w:p>
            <w:pPr>
              <w:pStyle w:val="ListBullet"/>
            </w:pPr>
            <w:r>
              <w:t>Veeam Backup &amp; Replication</w:t>
            </w:r>
          </w:p>
          <w:p>
            <w:pPr>
              <w:pStyle w:val="ListBullet"/>
            </w:pPr>
            <w:r>
              <w:t>Microsoft Exchange Server</w:t>
            </w:r>
          </w:p>
          <w:p>
            <w:pPr>
              <w:pStyle w:val="ListBullet"/>
            </w:pPr>
            <w:r>
              <w:t>Microsoft SQL Server</w:t>
            </w:r>
          </w:p>
        </w:tc>
      </w:tr>
      <w:tr>
        <w:tc>
          <w:tcPr>
            <w:tcW w:type="dxa" w:w="2600"/>
          </w:tcPr>
          <w:p>
            <w:r>
              <w:rPr>
                <w:b/>
              </w:rPr>
              <w:t>Recommended Action</w:t>
            </w:r>
          </w:p>
        </w:tc>
        <w:tc>
          <w:tcPr>
            <w:tcW w:type="dxa" w:w="7600"/>
          </w:tcPr>
          <w:p/>
          <w:p>
            <w:r>
              <w:rPr>
                <w:b/>
              </w:rPr>
              <w:t>Organisational Control</w:t>
            </w:r>
          </w:p>
          <w:p>
            <w:pPr>
              <w:pStyle w:val="ListBullet"/>
            </w:pPr>
            <w:r>
              <w:t>Maintain and test an incident response playbook for ransomware scenarios.</w:t>
            </w:r>
          </w:p>
          <w:p>
            <w:pPr>
              <w:pStyle w:val="ListBullet"/>
            </w:pPr>
            <w:r>
              <w:t>Enforce privileged access management and periodic credential hygiene reviews.</w:t>
            </w:r>
          </w:p>
          <w:p>
            <w:pPr>
              <w:pStyle w:val="ListBullet"/>
            </w:pPr>
            <w:r>
              <w:t>Require immutable and offline backup governance with routine restore testing.</w:t>
            </w:r>
          </w:p>
          <w:p>
            <w:r>
              <w:rPr>
                <w:b/>
              </w:rPr>
              <w:t>Technological Control</w:t>
            </w:r>
          </w:p>
          <w:p>
            <w:pPr>
              <w:pStyle w:val="ListBullet"/>
            </w:pPr>
            <w:r>
              <w:t>Patch and harden internet-facing systems and disable unnecessary remote services.</w:t>
            </w:r>
          </w:p>
          <w:p>
            <w:pPr>
              <w:pStyle w:val="ListBullet"/>
            </w:pPr>
            <w:r>
              <w:t>Deploy endpoint and network detections for encryption activity, privilege abuse, and service termination.</w:t>
            </w:r>
          </w:p>
          <w:p>
            <w:pPr>
              <w:pStyle w:val="ListBullet"/>
            </w:pPr>
            <w:r>
              <w:t>Segment critical infrastructure and restrict administrative protocols to controlled jump hosts.</w:t>
            </w:r>
          </w:p>
          <w:p>
            <w:pPr>
              <w:pStyle w:val="ListBullet"/>
            </w:pPr>
            <w:r>
              <w:t>Block the IOCs listed above.</w:t>
            </w:r>
          </w:p>
          <w:p>
            <w:r>
              <w:rPr>
                <w:b/>
              </w:rPr>
              <w:t>People Control</w:t>
            </w:r>
          </w:p>
          <w:p>
            <w:pPr>
              <w:pStyle w:val="ListBullet"/>
            </w:pPr>
            <w:r>
              <w:t>Train administrators to detect and escalate early signs of ransomware activity.</w:t>
            </w:r>
          </w:p>
          <w:p>
            <w:pPr>
              <w:pStyle w:val="ListBullet"/>
            </w:pPr>
            <w:r>
              <w:t>Conduct awareness campaigns on phishing, credential theft, and remote access abuse.</w:t>
            </w:r>
          </w:p>
          <w:p>
            <w:pPr>
              <w:pStyle w:val="ListBullet"/>
            </w:pPr>
            <w:r>
              <w:t>Apply least-privilege and just-in-time access for operational staff.</w:t>
            </w:r>
          </w:p>
          <w:p>
            <w:r>
              <w:rPr>
                <w:b/>
              </w:rPr>
              <w:t>Physical Control</w:t>
            </w:r>
          </w:p>
          <w:p>
            <w:pPr>
              <w:pStyle w:val="ListBullet"/>
            </w:pPr>
            <w:r>
              <w:t>Restrict physical access to hypervisors, servers, and backup infrastructure.</w:t>
            </w:r>
          </w:p>
          <w:p>
            <w:pPr>
              <w:pStyle w:val="ListBullet"/>
            </w:pPr>
            <w:r>
              <w:t>Use tamper controls and monitored access for data center and network rooms.</w:t>
            </w:r>
          </w:p>
          <w:p>
            <w:pPr>
              <w:pStyle w:val="ListBullet"/>
            </w:pPr>
            <w:r>
              <w:t>Store recovery media in secure, physically separated locations.</w:t>
            </w:r>
          </w:p>
        </w:tc>
      </w:tr>
      <w:tr>
        <w:tc>
          <w:tcPr>
            <w:tcW w:type="dxa" w:w="2600"/>
          </w:tcPr>
          <w:p>
            <w:r>
              <w:rPr>
                <w:b/>
              </w:rPr>
              <w:t>References</w:t>
            </w:r>
          </w:p>
        </w:tc>
        <w:tc>
          <w:tcPr>
            <w:tcW w:type="dxa" w:w="7600"/>
          </w:tcPr>
          <w:p/>
          <w:p>
            <w:r>
              <w:t>1. https://www.rapid7.com/blog/post/tr-kyber-ransomware-double-trouble-windows-esxi-attacks-explained/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320"/>
      <w:gridCol w:w="4320"/>
    </w:tblGrid>
    <w:tr>
      <w:tc>
        <w:tcPr>
          <w:tcW w:type="dxa" w:w="4320"/>
        </w:tcPr>
        <w:p>
          <w:r>
            <w:t>TechLab Cyber Threat Intelligence Team is responsible for the detection of emerging cyber threats and vulnerabilities that are impacting enterprises. TechLab CTI specializes in threat intelligence services that encompass active monitoring of the current threat landscape, brand monitoring, dark web monitoring, and security risk assessment.</w:t>
          </w:r>
        </w:p>
      </w:tc>
      <w:tc>
        <w:tcPr>
          <w:tcW w:type="dxa" w:w="4320"/>
        </w:tcPr>
        <w:p>
          <w:pPr>
            <w:jc w:val="right"/>
          </w:pPr>
          <w:r>
            <w:t>www.techlab.com.my</w:t>
            <w:br/>
            <w:t>soc-cti@techlab.com.my</w:t>
          </w:r>
        </w:p>
      </w:tc>
    </w:tr>
  </w:tbl>
  <w:p>
    <w:r>
      <w:t>Copyright © 2024 - TechLab Security Sdn. Bhd. All rights reserved.</w:t>
    </w:r>
  </w:p>
  <w:p>
    <w:r>
      <w:t>DISCLAIMER: The content of this document is confidential and intended for the recipient specified only. It is strictly forbidden to share any part of this message with any third party without written consent. If received by mistake, please notify the sender and delete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