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ayout w:type="fixed"/>
        <w:tblLook w:firstColumn="1" w:firstRow="1" w:lastColumn="0" w:lastRow="0" w:noHBand="0" w:noVBand="1" w:val="04A0"/>
        <w:tblBorders>
          <w:top w:val="single" w:sz="16" w:space="0" w:color="000000"/>
          <w:left w:val="single" w:sz="16" w:space="0" w:color="000000"/>
          <w:bottom w:val="single" w:sz="16" w:space="0" w:color="000000"/>
          <w:right w:val="single" w:sz="16" w:space="0" w:color="000000"/>
          <w:insideH w:val="single" w:sz="6" w:space="0" w:color="000000"/>
          <w:insideV w:val="single" w:sz="6" w:space="0" w:color="000000"/>
        </w:tblBorders>
      </w:tblPr>
      <w:tblGrid>
        <w:gridCol w:w="2074"/>
        <w:gridCol w:w="6566"/>
      </w:tblGrid>
      <w:tr>
        <w:trPr>
          <w:trHeight w:val="1800" w:hRule="exact"/>
        </w:trPr>
        <w:tc>
          <w:tcPr>
            <w:tcW w:type="dxa" w:w="8640"/>
            <w:gridSpan w:val="2"/>
            <w:tcMar>
              <w:top w:w="0" w:type="dxa"/>
              <w:bottom w:w="40" w:type="dxa"/>
              <w:left w:w="40" w:type="dxa"/>
              <w:right w:w="40" w:type="dxa"/>
            </w:tcMar>
          </w:tcPr>
          <w:p>
            <w:pPr>
              <w:spacing w:before="0" w:after="0"/>
              <w:jc w:val="center"/>
            </w:pPr>
            <w:r>
              <w:drawing>
                <wp:inline xmlns:a="http://schemas.openxmlformats.org/drawingml/2006/main" xmlns:pic="http://schemas.openxmlformats.org/drawingml/2006/picture">
                  <wp:extent cx="5486400" cy="838033"/>
                  <wp:docPr id="1" name="Picture 1"/>
                  <wp:cNvGraphicFramePr>
                    <a:graphicFrameLocks noChangeAspect="1"/>
                  </wp:cNvGraphicFramePr>
                  <a:graphic>
                    <a:graphicData uri="http://schemas.openxmlformats.org/drawingml/2006/picture">
                      <pic:pic>
                        <pic:nvPicPr>
                          <pic:cNvPr id="0" name="Header Image.png"/>
                          <pic:cNvPicPr/>
                        </pic:nvPicPr>
                        <pic:blipFill>
                          <a:blip r:embed="rId9"/>
                          <a:stretch>
                            <a:fillRect/>
                          </a:stretch>
                        </pic:blipFill>
                        <pic:spPr>
                          <a:xfrm>
                            <a:off x="0" y="0"/>
                            <a:ext cx="5486400" cy="838033"/>
                          </a:xfrm>
                          <a:prstGeom prst="rect"/>
                        </pic:spPr>
                      </pic:pic>
                    </a:graphicData>
                  </a:graphic>
                </wp:inline>
              </w:drawing>
            </w:r>
          </w:p>
          <w:p>
            <w:pPr>
              <w:spacing w:before="60" w:after="0"/>
              <w:jc w:val="right"/>
            </w:pPr>
            <w:r>
              <w:rPr>
                <w:sz w:val="16"/>
                <w:u w:val="single"/>
              </w:rPr>
              <w:t>Ref:TIA280426 - 01</w:t>
            </w:r>
          </w:p>
        </w:tc>
      </w:tr>
      <w:tr>
        <w:trPr>
          <w:trHeight w:val="547" w:hRule="exact"/>
        </w:trPr>
        <w:tc>
          <w:tcPr>
            <w:tcW w:type="dxa" w:w="8640"/>
            <w:gridSpan w:val="2"/>
            <w:tcMar>
              <w:top w:w="50" w:type="dxa"/>
              <w:bottom w:w="50" w:type="dxa"/>
              <w:left w:w="80" w:type="dxa"/>
              <w:right w:w="80" w:type="dxa"/>
            </w:tcMar>
          </w:tcPr>
          <w:p>
            <w:pPr>
              <w:spacing w:before="0" w:after="0"/>
              <w:jc w:val="center"/>
            </w:pPr>
            <w:r>
              <w:rPr>
                <w:b/>
                <w:sz w:val="28"/>
              </w:rPr>
              <w:t>elementary-data Compromised on PyPI and GHCR: Forged Release Pushed via GitHub Actions Script Injection</w:t>
            </w:r>
          </w:p>
        </w:tc>
      </w:tr>
      <w:tr>
        <w:trPr>
          <w:trHeight w:val="3672" w:hRule="exact"/>
        </w:trPr>
        <w:tc>
          <w:tcPr>
            <w:tcW w:type="dxa" w:w="2074"/>
          </w:tcPr>
          <w:p>
            <w:r/>
          </w:p>
        </w:tc>
        <w:tc>
          <w:tcPr>
            <w:tcW w:type="dxa" w:w="6566"/>
          </w:tcPr>
          <w:p>
            <w:r/>
          </w:p>
        </w:tc>
      </w:tr>
      <w:tr>
        <w:tc>
          <w:tcPr>
            <w:tcW w:type="dxa" w:w="2074"/>
            <w:tcMar>
              <w:top w:w="70" w:type="dxa"/>
              <w:bottom w:w="70" w:type="dxa"/>
              <w:left w:w="100" w:type="dxa"/>
              <w:right w:w="100" w:type="dxa"/>
            </w:tcMar>
          </w:tcPr>
          <w:p>
            <w:pPr>
              <w:spacing w:before="20" w:after="20"/>
            </w:pPr>
            <w:r>
              <w:rPr>
                <w:b/>
              </w:rPr>
              <w:t>Overview</w:t>
            </w:r>
          </w:p>
        </w:tc>
        <w:tc>
          <w:tcPr>
            <w:tcW w:type="dxa" w:w="6566"/>
            <w:tcMar>
              <w:top w:w="70" w:type="dxa"/>
              <w:bottom w:w="70" w:type="dxa"/>
              <w:left w:w="100" w:type="dxa"/>
              <w:right w:w="100" w:type="dxa"/>
            </w:tcMar>
          </w:tcPr>
          <w:p>
            <w:r>
              <w:t>A malicious version of the elementary-data Python package (0.23.3) was published to PyPI and GitHub Container Registry (GHCR), compromising users who have installed or pulled the package without a pinned version. The attacker exploited a script injection vulnerability in one of the project's GitHub Actions workflows, using the workflow's GITHUB_TOKEN to forge a signed release commit and dispatch the publishing pipeline. The malicious package contains a top-level elementary.pth file that executes a payload on every Python invocation, affecting any environment where the package is installed. Users who have pulled the docker image ghcr.io/elementary-data/elementary without a pinned tag have also been affected, as the image was tagged with both 0.23.3 and latest, allowing the malicious image to be pulled. The compromise has since been addressed by the Elementary team, who removed the malicious package and image and published a clean replacement (0.23.4).</w:t>
            </w:r>
          </w:p>
        </w:tc>
      </w:tr>
      <w:tr>
        <w:tc>
          <w:tcPr>
            <w:tcW w:type="dxa" w:w="2074"/>
            <w:tcMar>
              <w:top w:w="70" w:type="dxa"/>
              <w:bottom w:w="70" w:type="dxa"/>
              <w:left w:w="100" w:type="dxa"/>
              <w:right w:w="100" w:type="dxa"/>
            </w:tcMar>
          </w:tcPr>
          <w:p>
            <w:pPr>
              <w:spacing w:before="20" w:after="20"/>
            </w:pPr>
            <w:r>
              <w:rPr>
                <w:b/>
              </w:rPr>
              <w:t>Threat Severity</w:t>
            </w:r>
          </w:p>
        </w:tc>
        <w:tc>
          <w:tcPr>
            <w:tcW w:type="dxa" w:w="6566"/>
            <w:tcMar>
              <w:top w:w="70" w:type="dxa"/>
              <w:bottom w:w="70" w:type="dxa"/>
              <w:left w:w="100" w:type="dxa"/>
              <w:right w:w="100" w:type="dxa"/>
            </w:tcMar>
          </w:tcPr>
          <w:p>
            <w:r>
              <w:rPr>
                <w:b/>
                <w:color w:val="FF0000"/>
              </w:rPr>
              <w:t>High</w:t>
            </w:r>
          </w:p>
        </w:tc>
      </w:tr>
      <w:tr>
        <w:tc>
          <w:tcPr>
            <w:tcW w:type="dxa" w:w="2074"/>
            <w:tcMar>
              <w:top w:w="70" w:type="dxa"/>
              <w:bottom w:w="70" w:type="dxa"/>
              <w:left w:w="100" w:type="dxa"/>
              <w:right w:w="100" w:type="dxa"/>
            </w:tcMar>
          </w:tcPr>
          <w:p>
            <w:pPr>
              <w:spacing w:before="20" w:after="20"/>
            </w:pPr>
            <w:r>
              <w:rPr>
                <w:b/>
              </w:rPr>
              <w:t>Targeted Region</w:t>
            </w:r>
          </w:p>
        </w:tc>
        <w:tc>
          <w:tcPr>
            <w:tcW w:type="dxa" w:w="6566"/>
            <w:tcMar>
              <w:top w:w="70" w:type="dxa"/>
              <w:bottom w:w="70" w:type="dxa"/>
              <w:left w:w="100" w:type="dxa"/>
              <w:right w:w="100" w:type="dxa"/>
            </w:tcMar>
          </w:tcPr>
          <w:p>
            <w:r>
              <w:t>Global</w:t>
            </w:r>
          </w:p>
        </w:tc>
      </w:tr>
      <w:tr>
        <w:tc>
          <w:tcPr>
            <w:tcW w:type="dxa" w:w="2074"/>
            <w:tcMar>
              <w:top w:w="70" w:type="dxa"/>
              <w:bottom w:w="70" w:type="dxa"/>
              <w:left w:w="100" w:type="dxa"/>
              <w:right w:w="100" w:type="dxa"/>
            </w:tcMar>
          </w:tcPr>
          <w:p>
            <w:pPr>
              <w:spacing w:before="20" w:after="20"/>
            </w:pPr>
            <w:r>
              <w:rPr>
                <w:b/>
              </w:rPr>
              <w:t>Targeted Sector</w:t>
            </w:r>
          </w:p>
        </w:tc>
        <w:tc>
          <w:tcPr>
            <w:tcW w:type="dxa" w:w="6566"/>
            <w:tcMar>
              <w:top w:w="70" w:type="dxa"/>
              <w:bottom w:w="70" w:type="dxa"/>
              <w:left w:w="100" w:type="dxa"/>
              <w:right w:w="100" w:type="dxa"/>
            </w:tcMar>
          </w:tcPr>
          <w:p>
            <w:r>
              <w:t>Technology / Software</w:t>
            </w:r>
          </w:p>
        </w:tc>
      </w:tr>
      <w:tr>
        <w:tc>
          <w:tcPr>
            <w:tcW w:type="dxa" w:w="2074"/>
            <w:tcMar>
              <w:top w:w="70" w:type="dxa"/>
              <w:bottom w:w="70" w:type="dxa"/>
              <w:left w:w="100" w:type="dxa"/>
              <w:right w:w="100" w:type="dxa"/>
            </w:tcMar>
          </w:tcPr>
          <w:p>
            <w:pPr>
              <w:spacing w:before="20" w:after="20"/>
            </w:pPr>
            <w:r>
              <w:rPr>
                <w:b/>
              </w:rPr>
              <w:t>Attack Vector</w:t>
            </w:r>
          </w:p>
        </w:tc>
        <w:tc>
          <w:tcPr>
            <w:tcW w:type="dxa" w:w="6566"/>
            <w:tcMar>
              <w:top w:w="70" w:type="dxa"/>
              <w:bottom w:w="70" w:type="dxa"/>
              <w:left w:w="100" w:type="dxa"/>
              <w:right w:w="100" w:type="dxa"/>
            </w:tcMar>
          </w:tcPr>
          <w:p/>
          <w:p>
            <w:pPr>
              <w:pStyle w:val="ListBullet"/>
            </w:pPr>
            <w:r>
              <w:rPr>
                <w:b/>
              </w:rPr>
              <w:t xml:space="preserve">Initial Access: </w:t>
            </w:r>
            <w:r>
              <w:t>elementary-data Compromised on PyPI and GHCR: Forged Release Pushed via GitHub Actions Script Injection - StepSecurity Back to Blog Threat Intel elementary-data Compromised on PyPI and GHCR: Forged Release Pushed via GitHub Actions Script Injection A malicious version of elementary-data (0.23.3) was published to PyPI and is, at the time of writing, still listed as the latest release.</w:t>
            </w:r>
          </w:p>
          <w:p>
            <w:pPr>
              <w:pStyle w:val="ListBullet"/>
            </w:pPr>
            <w:r>
              <w:rPr>
                <w:b/>
              </w:rPr>
              <w:t xml:space="preserve">Execution: </w:t>
            </w:r>
            <w:r>
              <w:t>The attacker exploited a script injection vulnerability in one of the project's own GitHub Actions workflows, then used the workflow's GITHUB_TOKEN to forge a signed release commit and dispatch the legitimate publishing pipeline against it — without ever touching the master branch or opening a pull request.</w:t>
            </w:r>
          </w:p>
          <w:p>
            <w:pPr>
              <w:pStyle w:val="ListBullet"/>
            </w:pPr>
            <w:r>
              <w:rPr>
                <w:b/>
              </w:rPr>
              <w:t xml:space="preserve">Persistence: </w:t>
            </w:r>
            <w:r>
              <w:t>The same release run also pushed a multi-arch container image to GitHub Container Registry at ghcr.io/elementary-data/elementary, tagged both 0.23.3 and latest.</w:t>
            </w:r>
          </w:p>
          <w:p>
            <w:pPr>
              <w:pStyle w:val="ListBullet"/>
            </w:pPr>
            <w:r>
              <w:rPr>
                <w:b/>
              </w:rPr>
              <w:t xml:space="preserve">Privilege Escalation: </w:t>
            </w:r>
            <w:r>
              <w:t>The compromise was reported by crisperik in issue #2205 on April 25, 2026, and shortly afterwards confirmed by H-Max , who also escalated it directly on the Elementary community Slack.</w:t>
            </w:r>
          </w:p>
          <w:p>
            <w:pPr>
              <w:pStyle w:val="ListBullet"/>
            </w:pPr>
            <w:r>
              <w:rPr>
                <w:b/>
              </w:rPr>
              <w:t xml:space="preserve">Credential Access: </w:t>
            </w:r>
            <w:r>
              <w:t>The same release run also pushed a multi-arch container image to GitHub Container Registry at ghcr.io/elementary-data/elementary , tagged both 0.23.3 and latest .</w:t>
            </w:r>
          </w:p>
          <w:p>
            <w:pPr>
              <w:pStyle w:val="ListBullet"/>
            </w:pPr>
            <w:r>
              <w:rPr>
                <w:b/>
              </w:rPr>
              <w:t xml:space="preserve">Exfiltration: </w:t>
            </w:r>
            <w:r>
              <w:t>The Compromised Release elementary-data==0.23.3 was uploaded to PyPI on April 24, 2026 at 22:20:47 UTC.</w:t>
            </w:r>
          </w:p>
          <w:p>
            <w:pPr>
              <w:pStyle w:val="ListBullet"/>
            </w:pPr>
            <w:r>
              <w:rPr>
                <w:b/>
              </w:rPr>
              <w:t xml:space="preserve">Lateral Movement: </w:t>
            </w:r>
            <w:r>
              <w:t>When GitHub tokens are found, the malware weaponizes them to inject malicious workflows into repositories and extract CI/CD secrets — turning a single compromised developer machine into a supply chain attack pivot point.</w:t>
            </w:r>
          </w:p>
        </w:tc>
      </w:tr>
      <w:tr>
        <w:tc>
          <w:tcPr>
            <w:tcW w:type="dxa" w:w="2074"/>
            <w:tcMar>
              <w:top w:w="70" w:type="dxa"/>
              <w:bottom w:w="70" w:type="dxa"/>
              <w:left w:w="100" w:type="dxa"/>
              <w:right w:w="100" w:type="dxa"/>
            </w:tcMar>
          </w:tcPr>
          <w:p>
            <w:pPr>
              <w:spacing w:before="20" w:after="20"/>
            </w:pPr>
            <w:r>
              <w:rPr>
                <w:b/>
              </w:rPr>
              <w:t>Attack Technique</w:t>
            </w:r>
          </w:p>
        </w:tc>
        <w:tc>
          <w:tcPr>
            <w:tcW w:type="dxa" w:w="6566"/>
            <w:tcMar>
              <w:top w:w="70" w:type="dxa"/>
              <w:bottom w:w="70" w:type="dxa"/>
              <w:left w:w="100" w:type="dxa"/>
              <w:right w:w="100" w:type="dxa"/>
            </w:tcMar>
          </w:tcPr>
          <w:p/>
          <w:p>
            <w:r>
              <w:t>in one of the project's own GitHub Actions workflows, then used the workflow's GITHUB_TOKEN to forge a signed release commit and dispatch the legitimate publishing pipeline against it — without ever touching the master branch or opening a pull request. UPDATE: The Elementary team removed elementary-data 0.23.3 from PyPI and the matching malicious image from GHCR. They have since published a clean replacement, 0.23.4 , and the :latest tag now resolves to the clean image. The maintainer's full incident notice is in issue #2205 . The compromise was reported by crisperik in issue #2205 on April 25, 2026, and shortly afterwards confirmed by H-Max , who also</w:t>
            </w:r>
          </w:p>
        </w:tc>
      </w:tr>
      <w:tr>
        <w:tc>
          <w:tcPr>
            <w:tcW w:type="dxa" w:w="2074"/>
            <w:tcMar>
              <w:top w:w="70" w:type="dxa"/>
              <w:bottom w:w="70" w:type="dxa"/>
              <w:left w:w="100" w:type="dxa"/>
              <w:right w:w="100" w:type="dxa"/>
            </w:tcMar>
          </w:tcPr>
          <w:p>
            <w:pPr>
              <w:spacing w:before="20" w:after="20"/>
            </w:pPr>
            <w:r>
              <w:rPr>
                <w:b/>
              </w:rPr>
              <w:t>MITRE ATT&amp;CK Technique</w:t>
            </w:r>
          </w:p>
        </w:tc>
        <w:tc>
          <w:tcPr>
            <w:tcW w:type="dxa" w:w="6566"/>
            <w:tcMar>
              <w:top w:w="70" w:type="dxa"/>
              <w:bottom w:w="70" w:type="dxa"/>
              <w:left w:w="100" w:type="dxa"/>
              <w:right w:w="100" w:type="dxa"/>
            </w:tcMar>
          </w:tcPr>
          <w:p/>
          <w:p>
            <w:r>
              <w:t>No MITRE ATT&amp;CK techniques were explicitly listed in the referenced source.</w:t>
            </w:r>
          </w:p>
        </w:tc>
      </w:tr>
      <w:tr>
        <w:tc>
          <w:tcPr>
            <w:tcW w:type="dxa" w:w="2074"/>
            <w:tcMar>
              <w:top w:w="70" w:type="dxa"/>
              <w:bottom w:w="70" w:type="dxa"/>
              <w:left w:w="100" w:type="dxa"/>
              <w:right w:w="100" w:type="dxa"/>
            </w:tcMar>
          </w:tcPr>
          <w:p>
            <w:pPr>
              <w:spacing w:before="20" w:after="20"/>
            </w:pPr>
            <w:r>
              <w:rPr>
                <w:b/>
              </w:rPr>
              <w:t>IOCs</w:t>
            </w:r>
          </w:p>
        </w:tc>
        <w:tc>
          <w:tcPr>
            <w:tcW w:type="dxa" w:w="6566"/>
            <w:tcMar>
              <w:top w:w="70" w:type="dxa"/>
              <w:bottom w:w="70" w:type="dxa"/>
              <w:left w:w="100" w:type="dxa"/>
              <w:right w:w="100" w:type="dxa"/>
            </w:tcMar>
          </w:tcPr>
          <w:p/>
          <w:tbl>
            <w:tblPr>
              <w:tblStyle w:val="TableGrid"/>
              <w:tblW w:type="auto" w:w="0"/>
              <w:tblLook w:firstColumn="1" w:firstRow="1" w:lastColumn="0" w:lastRow="0" w:noHBand="0" w:noVBand="1" w:val="04A0"/>
            </w:tblPr>
            <w:tblGrid>
              <w:gridCol w:w="3283"/>
              <w:gridCol w:w="3283"/>
            </w:tblGrid>
            <w:tr>
              <w:tc>
                <w:tcPr>
                  <w:tcW w:type="dxa" w:w="3283"/>
                </w:tcPr>
                <w:p>
                  <w:r>
                    <w:rPr>
                      <w:b/>
                    </w:rPr>
                    <w:t>Type</w:t>
                  </w:r>
                </w:p>
              </w:tc>
              <w:tc>
                <w:tcPr>
                  <w:tcW w:type="dxa" w:w="3283"/>
                </w:tcPr>
                <w:p>
                  <w:r>
                    <w:rPr>
                      <w:b/>
                    </w:rPr>
                    <w:t>Value</w:t>
                  </w:r>
                </w:p>
              </w:tc>
            </w:tr>
            <w:tr>
              <w:tc>
                <w:tcPr>
                  <w:tcW w:type="dxa" w:w="3283"/>
                </w:tcPr>
                <w:p>
                  <w:r>
                    <w:t>SHA-256</w:t>
                  </w:r>
                </w:p>
              </w:tc>
              <w:tc>
                <w:tcPr>
                  <w:tcW w:type="dxa" w:w="3283"/>
                </w:tcPr>
                <w:p>
                  <w:r>
                    <w:t>31ecc5939de6d24cf60c50d4ca26cf7a8c322db82a8ce4bd122ebd89cf634255</w:t>
                  </w:r>
                </w:p>
              </w:tc>
            </w:tr>
            <w:tr>
              <w:tc>
                <w:tcPr>
                  <w:tcW w:type="dxa" w:w="3283"/>
                </w:tcPr>
                <w:p>
                  <w:r>
                    <w:t>SHA-256</w:t>
                  </w:r>
                </w:p>
              </w:tc>
              <w:tc>
                <w:tcPr>
                  <w:tcW w:type="dxa" w:w="3283"/>
                </w:tcPr>
                <w:p>
                  <w:r>
                    <w:t>b3bbfafde1a0db3a4d47e70eb0eb2ca19daef4a19410154a71abee567b35d3d9</w:t>
                  </w:r>
                </w:p>
              </w:tc>
            </w:tr>
            <w:tr>
              <w:tc>
                <w:tcPr>
                  <w:tcW w:type="dxa" w:w="3283"/>
                </w:tcPr>
                <w:p>
                  <w:r>
                    <w:t>SHA-1</w:t>
                  </w:r>
                </w:p>
              </w:tc>
              <w:tc>
                <w:tcPr>
                  <w:tcW w:type="dxa" w:w="3283"/>
                </w:tcPr>
                <w:p>
                  <w:r>
                    <w:t>b1e4b1f3aad0d489ab0e9208031c67402bbb8480</w:t>
                  </w:r>
                </w:p>
              </w:tc>
            </w:tr>
            <w:tr>
              <w:tc>
                <w:tcPr>
                  <w:tcW w:type="dxa" w:w="3283"/>
                </w:tcPr>
                <w:p>
                  <w:r>
                    <w:t>Domain</w:t>
                  </w:r>
                </w:p>
              </w:tc>
              <w:tc>
                <w:tcPr>
                  <w:tcW w:type="dxa" w:w="3283"/>
                </w:tcPr>
                <w:p>
                  <w:r>
                    <w:t>ghcr.io</w:t>
                  </w:r>
                </w:p>
              </w:tc>
            </w:tr>
            <w:tr>
              <w:tc>
                <w:tcPr>
                  <w:tcW w:type="dxa" w:w="3283"/>
                </w:tcPr>
                <w:p>
                  <w:r>
                    <w:t>Domain</w:t>
                  </w:r>
                </w:p>
              </w:tc>
              <w:tc>
                <w:tcPr>
                  <w:tcW w:type="dxa" w:w="3283"/>
                </w:tcPr>
                <w:p>
                  <w:r>
                    <w:t>igotnofriendsonlineorirl-imgonnakmslmao.skyhanni.cloud</w:t>
                  </w:r>
                </w:p>
              </w:tc>
            </w:tr>
            <w:tr>
              <w:tc>
                <w:tcPr>
                  <w:tcW w:type="dxa" w:w="3283"/>
                </w:tcPr>
                <w:p>
                  <w:r>
                    <w:t>Domain</w:t>
                  </w:r>
                </w:p>
              </w:tc>
              <w:tc>
                <w:tcPr>
                  <w:tcW w:type="dxa" w:w="3283"/>
                </w:tcPr>
                <w:p>
                  <w:r>
                    <w:t>iqesmbhukgd2c7hq.sh</w:t>
                  </w:r>
                </w:p>
              </w:tc>
            </w:tr>
            <w:tr>
              <w:tc>
                <w:tcPr>
                  <w:tcW w:type="dxa" w:w="3283"/>
                </w:tcPr>
                <w:p>
                  <w:r>
                    <w:t>URL</w:t>
                  </w:r>
                </w:p>
              </w:tc>
              <w:tc>
                <w:tcPr>
                  <w:tcW w:type="dxa" w:w="3283"/>
                </w:tcPr>
                <w:p>
                  <w:r>
                    <w:t>https://litter.catbox.moe/iqesmbhukgd2c7hq.sh</w:t>
                  </w:r>
                </w:p>
              </w:tc>
            </w:tr>
            <w:tr>
              <w:tc>
                <w:tcPr>
                  <w:tcW w:type="dxa" w:w="3283"/>
                </w:tcPr>
                <w:p>
                  <w:r>
                    <w:t>File Name</w:t>
                  </w:r>
                </w:p>
              </w:tc>
              <w:tc>
                <w:tcPr>
                  <w:tcW w:type="dxa" w:w="3283"/>
                </w:tcPr>
                <w:p>
                  <w:r>
                    <w:t>elementary.pth</w:t>
                  </w:r>
                </w:p>
              </w:tc>
            </w:tr>
            <w:tr>
              <w:tc>
                <w:tcPr>
                  <w:tcW w:type="dxa" w:w="3283"/>
                </w:tcPr>
                <w:p>
                  <w:r>
                    <w:t>File Name</w:t>
                  </w:r>
                </w:p>
              </w:tc>
              <w:tc>
                <w:tcPr>
                  <w:tcW w:type="dxa" w:w="3283"/>
                </w:tcPr>
                <w:p>
                  <w:r>
                    <w:t>trin.tar.gz</w:t>
                  </w:r>
                </w:p>
              </w:tc>
            </w:tr>
            <w:tr>
              <w:tc>
                <w:tcPr>
                  <w:tcW w:type="dxa" w:w="3283"/>
                </w:tcPr>
                <w:p>
                  <w:r>
                    <w:t>File Name</w:t>
                  </w:r>
                </w:p>
              </w:tc>
              <w:tc>
                <w:tcPr>
                  <w:tcW w:type="dxa" w:w="3283"/>
                </w:tcPr>
                <w:p>
                  <w:r>
                    <w:t>iqesmbhukgd2c7hq.sh</w:t>
                  </w:r>
                </w:p>
              </w:tc>
            </w:tr>
          </w:tbl>
          <w:p/>
        </w:tc>
      </w:tr>
      <w:tr>
        <w:tc>
          <w:tcPr>
            <w:tcW w:type="dxa" w:w="2074"/>
            <w:tcMar>
              <w:top w:w="70" w:type="dxa"/>
              <w:bottom w:w="70" w:type="dxa"/>
              <w:left w:w="100" w:type="dxa"/>
              <w:right w:w="100" w:type="dxa"/>
            </w:tcMar>
          </w:tcPr>
          <w:p>
            <w:pPr>
              <w:spacing w:before="20" w:after="20"/>
            </w:pPr>
            <w:r>
              <w:rPr>
                <w:b/>
              </w:rPr>
              <w:t>Impacts</w:t>
            </w:r>
          </w:p>
        </w:tc>
        <w:tc>
          <w:tcPr>
            <w:tcW w:type="dxa" w:w="6566"/>
            <w:tcMar>
              <w:top w:w="70" w:type="dxa"/>
              <w:bottom w:w="70" w:type="dxa"/>
              <w:left w:w="100" w:type="dxa"/>
              <w:right w:w="100" w:type="dxa"/>
            </w:tcMar>
          </w:tcPr>
          <w:p/>
          <w:p>
            <w:pPr>
              <w:pStyle w:val="ListBullet"/>
            </w:pPr>
            <w:r>
              <w:t>The malicious version of elementary-data (0.23.3) was published to PyPI and is still listed as the latest release, allowing attackers to compromise systems that install this version</w:t>
            </w:r>
          </w:p>
          <w:p>
            <w:pPr>
              <w:pStyle w:val="ListBullet"/>
            </w:pPr>
            <w:r>
              <w:t>Every unpinned docker pull ghcr.io/elementary-data/elementary and every FROM ghcr.io/elementary-data/elementary line without a pinned tag has been pulling the trojaned image since April 24</w:t>
            </w:r>
          </w:p>
          <w:p>
            <w:pPr>
              <w:pStyle w:val="ListBullet"/>
            </w:pPr>
            <w:r>
              <w:t>The malicious release contains a top-level elementary.pth file that executes on every Python invocation in any environment where the package is installed, not only on import elementary</w:t>
            </w:r>
          </w:p>
          <w:p>
            <w:pPr>
              <w:pStyle w:val="ListBullet"/>
            </w:pPr>
            <w:r>
              <w:t>The corresponding Docker image at ghcr.io/elementary-data/elementary, tagged with both 0.23.3 and latest, carries the same payload as the PyPI package</w:t>
            </w:r>
          </w:p>
        </w:tc>
      </w:tr>
      <w:tr>
        <w:tc>
          <w:tcPr>
            <w:tcW w:type="dxa" w:w="2074"/>
            <w:tcMar>
              <w:top w:w="70" w:type="dxa"/>
              <w:bottom w:w="70" w:type="dxa"/>
              <w:left w:w="100" w:type="dxa"/>
              <w:right w:w="100" w:type="dxa"/>
            </w:tcMar>
          </w:tcPr>
          <w:p>
            <w:pPr>
              <w:spacing w:before="20" w:after="20"/>
            </w:pPr>
            <w:r>
              <w:rPr>
                <w:b/>
              </w:rPr>
              <w:t>Affected Products</w:t>
            </w:r>
          </w:p>
        </w:tc>
        <w:tc>
          <w:tcPr>
            <w:tcW w:type="dxa" w:w="6566"/>
            <w:tcMar>
              <w:top w:w="70" w:type="dxa"/>
              <w:bottom w:w="70" w:type="dxa"/>
              <w:left w:w="100" w:type="dxa"/>
              <w:right w:w="100" w:type="dxa"/>
            </w:tcMar>
          </w:tcPr>
          <w:p/>
          <w:p>
            <w:pPr>
              <w:pStyle w:val="ListBullet"/>
            </w:pPr>
            <w:r>
              <w:t>PyPI (Python Package Index)</w:t>
            </w:r>
          </w:p>
          <w:p>
            <w:pPr>
              <w:pStyle w:val="ListBullet"/>
            </w:pPr>
            <w:r>
              <w:t>GitHub Container Registry (GHCR)</w:t>
            </w:r>
          </w:p>
          <w:p>
            <w:pPr>
              <w:pStyle w:val="ListBullet"/>
            </w:pPr>
            <w:r>
              <w:t>GitHub Actions</w:t>
            </w:r>
          </w:p>
          <w:p>
            <w:pPr>
              <w:pStyle w:val="ListBullet"/>
            </w:pPr>
            <w:r>
              <w:t>Linux</w:t>
            </w:r>
          </w:p>
          <w:p>
            <w:pPr>
              <w:pStyle w:val="ListBullet"/>
            </w:pPr>
            <w:r>
              <w:t>npm (Node Package Manager)</w:t>
            </w:r>
          </w:p>
          <w:p>
            <w:pPr>
              <w:pStyle w:val="ListBullet"/>
            </w:pPr>
            <w:r>
              <w:t>Docker</w:t>
            </w:r>
          </w:p>
        </w:tc>
      </w:tr>
      <w:tr>
        <w:tc>
          <w:tcPr>
            <w:tcW w:type="dxa" w:w="2074"/>
            <w:tcMar>
              <w:top w:w="70" w:type="dxa"/>
              <w:bottom w:w="70" w:type="dxa"/>
              <w:left w:w="100" w:type="dxa"/>
              <w:right w:w="100" w:type="dxa"/>
            </w:tcMar>
          </w:tcPr>
          <w:p>
            <w:pPr>
              <w:spacing w:before="20" w:after="20"/>
            </w:pPr>
            <w:r>
              <w:rPr>
                <w:b/>
              </w:rPr>
              <w:t>Recommended Action</w:t>
            </w:r>
          </w:p>
        </w:tc>
        <w:tc>
          <w:tcPr>
            <w:tcW w:type="dxa" w:w="6566"/>
            <w:tcMar>
              <w:top w:w="70" w:type="dxa"/>
              <w:bottom w:w="70" w:type="dxa"/>
              <w:left w:w="100" w:type="dxa"/>
              <w:right w:w="100" w:type="dxa"/>
            </w:tcMar>
          </w:tcPr>
          <w:p/>
          <w:p>
            <w:r>
              <w:rPr>
                <w:b/>
              </w:rPr>
              <w:t>Organisational Control</w:t>
            </w:r>
          </w:p>
          <w:p>
            <w:pPr>
              <w:pStyle w:val="ListBullet"/>
            </w:pPr>
            <w:r>
              <w:t>Review and update incident response plans to include scenarios for compromised package releases on PyPI and GHCR</w:t>
            </w:r>
          </w:p>
          <w:p>
            <w:pPr>
              <w:pStyle w:val="ListBullet"/>
            </w:pPr>
            <w:r>
              <w:t>Establish a process for monitoring and verifying the integrity of dependencies and packages used in projects</w:t>
            </w:r>
          </w:p>
          <w:p>
            <w:pPr>
              <w:pStyle w:val="ListBullet"/>
            </w:pPr>
            <w:r>
              <w:t>Define a clear communication plan for reporting and responding to security incidents involving compromised packages</w:t>
            </w:r>
          </w:p>
          <w:p>
            <w:r>
              <w:rPr>
                <w:b/>
              </w:rPr>
              <w:t>Technological Control</w:t>
            </w:r>
          </w:p>
          <w:p>
            <w:pPr>
              <w:pStyle w:val="ListBullet"/>
            </w:pPr>
            <w:r>
              <w:t>Implement package pinning to prevent automatic updates to compromised versions</w:t>
            </w:r>
          </w:p>
          <w:p>
            <w:pPr>
              <w:pStyle w:val="ListBullet"/>
            </w:pPr>
            <w:r>
              <w:t>Use tools like pip-compile or pip-tools to manage dependencies and ensure reproducible builds</w:t>
            </w:r>
          </w:p>
          <w:p>
            <w:pPr>
              <w:pStyle w:val="ListBullet"/>
            </w:pPr>
            <w:r>
              <w:t>Configure GitHub Actions workflows to use environment variables or secrets for sensitive tokens and credentials</w:t>
            </w:r>
          </w:p>
          <w:p>
            <w:r>
              <w:rPr>
                <w:b/>
              </w:rPr>
              <w:t>People Control</w:t>
            </w:r>
          </w:p>
          <w:p>
            <w:pPr>
              <w:pStyle w:val="ListBullet"/>
            </w:pPr>
            <w:r>
              <w:t>Educate developers on the risks of script injection vulnerabilities in GitHub Actions workflows</w:t>
            </w:r>
          </w:p>
          <w:p>
            <w:pPr>
              <w:pStyle w:val="ListBullet"/>
            </w:pPr>
            <w:r>
              <w:t>Train developers to review and verify the integrity of packages and dependencies before use</w:t>
            </w:r>
          </w:p>
          <w:p>
            <w:pPr>
              <w:pStyle w:val="ListBullet"/>
            </w:pPr>
            <w:r>
              <w:t>Establish a culture of security awareness and encourage reporting of suspicious activity or potential security incidents</w:t>
            </w:r>
          </w:p>
          <w:p>
            <w:r>
              <w:rPr>
                <w:b/>
              </w:rPr>
              <w:t>Physical Control</w:t>
            </w:r>
          </w:p>
          <w:p>
            <w:pPr>
              <w:pStyle w:val="ListBullet"/>
            </w:pPr>
            <w:r>
              <w:t>Restrict access to sensitive areas of the codebase and package repositories</w:t>
            </w:r>
          </w:p>
          <w:p>
            <w:pPr>
              <w:pStyle w:val="ListBullet"/>
            </w:pPr>
            <w:r>
              <w:t>Use multi-factor authentication to protect access to GitHub accounts and repositories</w:t>
            </w:r>
          </w:p>
          <w:p>
            <w:pPr>
              <w:pStyle w:val="ListBullet"/>
            </w:pPr>
            <w:r>
              <w:t>Limit the use of automated workflows and scripts to trusted and verified environments</w:t>
            </w:r>
          </w:p>
        </w:tc>
      </w:tr>
      <w:tr>
        <w:tc>
          <w:tcPr>
            <w:tcW w:type="dxa" w:w="2074"/>
            <w:tcMar>
              <w:top w:w="70" w:type="dxa"/>
              <w:bottom w:w="70" w:type="dxa"/>
              <w:left w:w="100" w:type="dxa"/>
              <w:right w:w="100" w:type="dxa"/>
            </w:tcMar>
          </w:tcPr>
          <w:p>
            <w:pPr>
              <w:spacing w:before="20" w:after="20"/>
            </w:pPr>
            <w:r>
              <w:rPr>
                <w:b/>
              </w:rPr>
              <w:t>References</w:t>
            </w:r>
          </w:p>
        </w:tc>
        <w:tc>
          <w:tcPr>
            <w:tcW w:type="dxa" w:w="6566"/>
            <w:tcMar>
              <w:top w:w="70" w:type="dxa"/>
              <w:bottom w:w="70" w:type="dxa"/>
              <w:left w:w="100" w:type="dxa"/>
              <w:right w:w="100" w:type="dxa"/>
            </w:tcMar>
          </w:tcPr>
          <w:p/>
          <w:p>
            <w:r>
              <w:t>1. https://www.stepsecurity.io/blog/elementary-data-compromised-on-pypi-and-ghcr-forged-release-pushed-via-github-actions-script-injection#acknowledgements</w:t>
            </w:r>
          </w:p>
        </w:tc>
      </w:tr>
      <w:tr>
        <w:trPr>
          <w:trHeight w:val="2520" w:hRule="exact"/>
        </w:trPr>
        <w:tc>
          <w:tcPr>
            <w:tcW w:type="dxa" w:w="8640"/>
            <w:gridSpan w:val="2"/>
            <w:tcMar>
              <w:top w:w="40" w:type="dxa"/>
              <w:bottom w:w="40" w:type="dxa"/>
              <w:left w:w="40" w:type="dxa"/>
              <w:right w:w="40" w:type="dxa"/>
            </w:tcMar>
          </w:tcPr>
          <w:p>
            <w:pPr>
              <w:spacing w:before="0" w:after="0"/>
              <w:jc w:val="center"/>
            </w:pPr>
            <w:r>
              <w:drawing>
                <wp:inline xmlns:a="http://schemas.openxmlformats.org/drawingml/2006/main" xmlns:pic="http://schemas.openxmlformats.org/drawingml/2006/picture">
                  <wp:extent cx="5486400" cy="2582384"/>
                  <wp:docPr id="2" name="Picture 2"/>
                  <wp:cNvGraphicFramePr>
                    <a:graphicFrameLocks noChangeAspect="1"/>
                  </wp:cNvGraphicFramePr>
                  <a:graphic>
                    <a:graphicData uri="http://schemas.openxmlformats.org/drawingml/2006/picture">
                      <pic:pic>
                        <pic:nvPicPr>
                          <pic:cNvPr id="0" name="Footer Image_Advisory.png"/>
                          <pic:cNvPicPr/>
                        </pic:nvPicPr>
                        <pic:blipFill>
                          <a:blip r:embed="rId10"/>
                          <a:stretch>
                            <a:fillRect/>
                          </a:stretch>
                        </pic:blipFill>
                        <pic:spPr>
                          <a:xfrm>
                            <a:off x="0" y="0"/>
                            <a:ext cx="5486400" cy="2582384"/>
                          </a:xfrm>
                          <a:prstGeom prst="rect"/>
                        </pic:spPr>
                      </pic:pic>
                    </a:graphicData>
                  </a:graphic>
                </wp:inline>
              </w:drawing>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