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Preparación de presentación final.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Definición de roles de exposición.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Ensayo de defensa.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Define estructura de presentación.</w:t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Ajusta contenido técnico.</w:t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mejora discurso de solución.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Dividir temas 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Dividir presentación por integrante</w:t>
            </w:r>
          </w:p>
          <w:p w:rsidR="00000000" w:rsidDel="00000000" w:rsidP="00000000" w:rsidRDefault="00000000" w:rsidRPr="00000000" w14:paraId="00000052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widowControl w:val="1"/>
              <w:shd w:fill="ffffff" w:val="clear"/>
              <w:spacing w:after="280" w:lineRule="auto"/>
              <w:jc w:val="both"/>
              <w:rPr>
                <w:rFonts w:ascii="Tahoma" w:cs="Tahoma" w:eastAsia="Tahoma" w:hAnsi="Tahoma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222"/>
                <w:sz w:val="22"/>
                <w:szCs w:val="22"/>
                <w:rtl w:val="0"/>
              </w:rPr>
              <w:t xml:space="preserve">Reforzar diferenciadores del proyecto</w:t>
            </w:r>
          </w:p>
          <w:p w:rsidR="00000000" w:rsidDel="00000000" w:rsidP="00000000" w:rsidRDefault="00000000" w:rsidRPr="00000000" w14:paraId="0000005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JM: Ajustar PPT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-18724</wp:posOffset>
              </wp:positionH>
              <wp:positionV relativeFrom="paragraph">
                <wp:posOffset>-48570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-18724</wp:posOffset>
              </wp:positionH>
              <wp:positionV relativeFrom="paragraph">
                <wp:posOffset>-48570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5GaTNNw9Tlle4K8UN8SGJYk+g==">CgMxLjAyDmguZnJqeG91dnk4NjVyOAByITFGTGRYRnZrVWxjQU45dUZMRVQyMWdwdlhrU1Z1VjJReQ==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