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jc w:val="both"/>
        <w:rPr>
          <w:rFonts w:ascii="Tahoma" w:cs="Tahoma" w:eastAsia="Tahoma" w:hAnsi="Tahoma"/>
        </w:rPr>
      </w:pPr>
      <w:bookmarkStart w:colFirst="0" w:colLast="0" w:name="_heading=h.frjxouvy865r" w:id="0"/>
      <w:bookmarkEnd w:id="0"/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BAS014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Minuta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Joaquín Meneses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14-04-2026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Cotizador de Asados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jc w:val="both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numPr>
                <w:ilvl w:val="2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jc w:val="both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Luis Sánchez (LS)</w:t>
            </w:r>
          </w:p>
          <w:p w:rsidR="00000000" w:rsidDel="00000000" w:rsidP="00000000" w:rsidRDefault="00000000" w:rsidRPr="00000000" w14:paraId="00000029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Joaquín Meneses (JM)</w:t>
            </w:r>
          </w:p>
          <w:p w:rsidR="00000000" w:rsidDel="00000000" w:rsidP="00000000" w:rsidRDefault="00000000" w:rsidRPr="00000000" w14:paraId="0000002B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Rodrigo Ampuero (RA)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numPr>
                <w:ilvl w:val="6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Basados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jc w:val="both"/>
              <w:rPr>
                <w:rFonts w:ascii="Tahoma" w:cs="Tahoma" w:eastAsia="Tahoma" w:hAnsi="Tahoma"/>
                <w:color w:val="0000ff"/>
                <w:u w:val="single"/>
              </w:rPr>
            </w:pPr>
            <w:hyperlink r:id="rId7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lu.sanchezh@duocuc.cl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Tahoma" w:cs="Tahoma" w:eastAsia="Tahoma" w:hAnsi="Tahoma"/>
              </w:rPr>
            </w:pPr>
            <w:hyperlink r:id="rId8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jo.menesesl@duocuc.c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Tahoma" w:cs="Tahoma" w:eastAsia="Tahoma" w:hAnsi="Tahoma"/>
              </w:rPr>
            </w:pPr>
            <w:hyperlink r:id="rId9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r.ampuero@duocuc.cl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4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8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jc w:val="both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D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JM, RA, LS: Reunión de organización para etapa dos: Implementación del producto</w:t>
            </w:r>
          </w:p>
          <w:p w:rsidR="00000000" w:rsidDel="00000000" w:rsidP="00000000" w:rsidRDefault="00000000" w:rsidRPr="00000000" w14:paraId="0000003F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jc w:val="both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JM: Define estructura de presentación.</w:t>
            </w:r>
          </w:p>
          <w:p w:rsidR="00000000" w:rsidDel="00000000" w:rsidP="00000000" w:rsidRDefault="00000000" w:rsidRPr="00000000" w14:paraId="00000043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LS: Ajusta contenido técnico.</w:t>
            </w:r>
          </w:p>
          <w:p w:rsidR="00000000" w:rsidDel="00000000" w:rsidP="00000000" w:rsidRDefault="00000000" w:rsidRPr="00000000" w14:paraId="00000044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RA: mejora discurso de solución.</w:t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Organizar siguientes 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F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Desarrollar lista de pendientes, ordenarlos por prioridad.</w:t>
            </w:r>
          </w:p>
          <w:p w:rsidR="00000000" w:rsidDel="00000000" w:rsidP="00000000" w:rsidRDefault="00000000" w:rsidRPr="00000000" w14:paraId="00000050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1">
            <w:pPr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left="0" w:firstLine="0"/>
              <w:jc w:val="both"/>
              <w:rPr>
                <w:rFonts w:ascii="Tahoma" w:cs="Tahoma" w:eastAsia="Tahoma" w:hAnsi="Tahom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2">
            <w:pPr>
              <w:widowControl w:val="1"/>
              <w:shd w:fill="ffffff" w:val="clear"/>
              <w:spacing w:after="280" w:lineRule="auto"/>
              <w:jc w:val="both"/>
              <w:rPr>
                <w:rFonts w:ascii="Tahoma" w:cs="Tahoma" w:eastAsia="Tahoma" w:hAnsi="Tahoma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222"/>
                <w:sz w:val="22"/>
                <w:szCs w:val="22"/>
                <w:rtl w:val="0"/>
              </w:rPr>
              <w:t xml:space="preserve">Establecer formato de reuniones y trabajo, para evitar errores de la primera etapa</w:t>
            </w:r>
          </w:p>
          <w:p w:rsidR="00000000" w:rsidDel="00000000" w:rsidP="00000000" w:rsidRDefault="00000000" w:rsidRPr="00000000" w14:paraId="00000053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numPr>
          <w:ilvl w:val="5"/>
          <w:numId w:val="1"/>
        </w:numPr>
        <w:ind w:left="0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5"/>
          <w:numId w:val="1"/>
        </w:numPr>
        <w:ind w:left="0" w:firstLine="0"/>
        <w:jc w:val="both"/>
        <w:rPr>
          <w:u w:val="no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9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A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ind w:right="-15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Ajustar PPT según feedback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numPr>
                <w:ilvl w:val="5"/>
                <w:numId w:val="1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17-04-2026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numPr>
                <w:ilvl w:val="5"/>
                <w:numId w:val="1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numPr>
                <w:ilvl w:val="5"/>
                <w:numId w:val="1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Investigar en profundidad tecnologías necesarias para implementación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numPr>
                <w:ilvl w:val="5"/>
                <w:numId w:val="1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17-04-2026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numPr>
                <w:ilvl w:val="5"/>
                <w:numId w:val="1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Empezar con la implementación de la base de datos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numPr>
                <w:ilvl w:val="5"/>
                <w:numId w:val="1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17-04-2026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JM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Revisar la interfaz de la app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numPr>
                <w:ilvl w:val="5"/>
                <w:numId w:val="1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17-04-2026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</w:t>
            </w:r>
          </w:p>
        </w:tc>
      </w:tr>
    </w:tbl>
    <w:p w:rsidR="00000000" w:rsidDel="00000000" w:rsidP="00000000" w:rsidRDefault="00000000" w:rsidRPr="00000000" w14:paraId="00000068">
      <w:pPr>
        <w:numPr>
          <w:ilvl w:val="5"/>
          <w:numId w:val="1"/>
        </w:numPr>
        <w:ind w:lef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9">
            <w:pPr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Reunión corta de organización.</w:t>
            </w:r>
          </w:p>
        </w:tc>
      </w:tr>
    </w:tbl>
    <w:p w:rsidR="00000000" w:rsidDel="00000000" w:rsidP="00000000" w:rsidRDefault="00000000" w:rsidRPr="00000000" w14:paraId="0000006B">
      <w:pPr>
        <w:numPr>
          <w:ilvl w:val="5"/>
          <w:numId w:val="1"/>
        </w:numPr>
        <w:ind w:left="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right" w:leader="none" w:pos="9923"/>
      </w:tabs>
      <w:ind w:left="0" w:firstLine="0"/>
      <w:rPr>
        <w:rFonts w:ascii="Tahoma" w:cs="Tahoma" w:eastAsia="Tahoma" w:hAnsi="Tahoma"/>
        <w:color w:val="000000"/>
      </w:rPr>
    </w:pPr>
    <w:r w:rsidDel="00000000" w:rsidR="00000000" w:rsidRPr="00000000">
      <w:rPr>
        <w:color w:val="000000"/>
        <w:rtl w:val="0"/>
      </w:rPr>
      <w:tab/>
    </w:r>
    <w:r w:rsidDel="00000000" w:rsidR="00000000" w:rsidRPr="00000000">
      <w:rPr>
        <w:rFonts w:ascii="Tahoma" w:cs="Tahoma" w:eastAsia="Tahoma" w:hAnsi="Tahoma"/>
        <w:color w:val="000000"/>
        <w:rtl w:val="0"/>
      </w:rPr>
      <w:t xml:space="preserve">Duoc UC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-23485</wp:posOffset>
              </wp:positionH>
              <wp:positionV relativeFrom="paragraph">
                <wp:posOffset>-53330</wp:posOffset>
              </wp:positionV>
              <wp:extent cx="31750" cy="3175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-23485</wp:posOffset>
              </wp:positionH>
              <wp:positionV relativeFrom="paragraph">
                <wp:posOffset>-53330</wp:posOffset>
              </wp:positionV>
              <wp:extent cx="31750" cy="3175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750" cy="31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D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E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F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0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i w:val="1"/>
      <w:iCs w:val="1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r.ampuero@duocuc.cl" TargetMode="External"/><Relationship Id="rId15" Type="http://schemas.openxmlformats.org/officeDocument/2006/relationships/footer" Target="footer3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lu.sanchezh@duocuc.cl" TargetMode="External"/><Relationship Id="rId8" Type="http://schemas.openxmlformats.org/officeDocument/2006/relationships/hyperlink" Target="mailto:jo.menesesl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I+mrC8kCjVq+waQW0XPT4gd1Jg==">CgMxLjAyDmguZnJqeG91dnk4NjVyOAByITE2YmE4VXdsbUxKTmh2UnBIeVM4Ri1GZldoakw0a256Zw==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