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both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color w:val="c0c0c0"/>
          <w:sz w:val="32"/>
          <w:szCs w:val="32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1200"/>
        <w:gridCol w:w="4560"/>
        <w:gridCol w:w="2400"/>
        <w:tblGridChange w:id="0">
          <w:tblGrid>
            <w:gridCol w:w="1200"/>
            <w:gridCol w:w="1200"/>
            <w:gridCol w:w="4560"/>
            <w:gridCol w:w="2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BAS01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Joaquín Meneses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29-04-2026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1560"/>
        <w:gridCol w:w="1800"/>
        <w:gridCol w:w="3200"/>
        <w:tblGridChange w:id="0">
          <w:tblGrid>
            <w:gridCol w:w="2800"/>
            <w:gridCol w:w="1560"/>
            <w:gridCol w:w="1800"/>
            <w:gridCol w:w="320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JM, RA, LS: Revisión del módulo de verificación de edad y catálogo expandido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JM, RA, LS: Planificación del servicio de maestro asador a domicilio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RA: Presenta funcionamiento del modal de verificación de edad — aprobado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JM: Catálogo expandido con vacuno (25 cortes), cerdo (19), pollo (16), cordero (14), pescados y mariscos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LS: Propone agregar módulo de maestro asador como paso adicional en el wizard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Equipo define estructura de datos del asador: nombre, RUT, teléfono, correo, calificación, zonas y tarifas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RA: Define que el costo del asador se mostrará separado del costo de productos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Módulo Maestro Asador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Crear paso adicional  entre catálogo y configuración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Tarifa dinámica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Calcular tarifa del asador según número de participantes del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Costo separado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Mostrar costo del asador como ítem independiente en el resumen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00"/>
        <w:gridCol w:w="1560"/>
        <w:gridCol w:w="2800"/>
        <w:tblGridChange w:id="0">
          <w:tblGrid>
            <w:gridCol w:w="5000"/>
            <w:gridCol w:w="1560"/>
            <w:gridCol w:w="28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ccc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Implementar AsadorStep.tsx con catálogo de 5 maestros simulados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05-05-2026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Integrar paso asador CreateEvent.tsx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05-05-2026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Actualizar logo en PDF y frontend con nueva imagen oficial 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05-05-2026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0c0c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00000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Fonts w:ascii="Tahoma" w:cs="Tahoma" w:eastAsia="Tahoma" w:hAnsi="Tahoma"/>
                <w:color w:val="000000"/>
                <w:rtl w:val="0"/>
              </w:rPr>
              <w:t xml:space="preserve">Reunión de avance Sprint II. Se aprueba catálogo expandido y se planifica módulo de maestro asador.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before="200" w:lineRule="auto"/>
        <w:jc w:val="both"/>
        <w:rPr/>
      </w:pPr>
      <w:r w:rsidDel="00000000" w:rsidR="00000000" w:rsidRPr="00000000">
        <w:rPr>
          <w:rFonts w:ascii="Tahoma" w:cs="Tahoma" w:eastAsia="Tahoma" w:hAnsi="Tahoma"/>
          <w:i w:val="1"/>
          <w:iCs w:val="1"/>
          <w:color w:val="888888"/>
          <w:sz w:val="18"/>
          <w:szCs w:val="18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-33007</wp:posOffset>
              </wp:positionH>
              <wp:positionV relativeFrom="paragraph">
                <wp:posOffset>-62851</wp:posOffset>
              </wp:positionV>
              <wp:extent cx="50800" cy="508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800" cy="508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4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5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B9m3wLkG+n5zupxJpZTvgMNqYA==">CgMxLjA4AHIhMWsxTGROc1JHeG5jR0RvYWg1ejhTeWMyZkFKRUdsaTNk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