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/>
        <w:drawing>
          <wp:inline distB="0" distT="0" distL="0" distR="0">
            <wp:extent cx="123825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3120"/>
        <w:gridCol w:w="3120"/>
        <w:tblGridChange w:id="0">
          <w:tblGrid>
            <w:gridCol w:w="1560"/>
            <w:gridCol w:w="156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Luis Sánchez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05-06-2026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LS: Plan B scraper — migración de credenciales a variables de entorno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LS: Correcciones de configuración headless y idComercio en scrapers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LS: Validación de API key Anthropic al inicio del servidor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LS: Migra credenciales de BD desde hardcoded a variables de entorno en config/database.js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LS: Agrega require('dotenv').config() en server.js y crea scraper-basados/.env.example como plantilla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LS: Actualiza .gitignore para excluir scraper-basados/.env del repositorio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LS: Implementa S-04 — cambia headless: false a headless: true en los 4 scrapers (Lider, Tottus, Jumbo, server.js)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LS: Implementa S-09 — BATCH_SIZE pasa a ser configurable vía variable de entorno ENRIQUECIMIENTO_BATCH_SIZE con fallback a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LS: Implementa S-10 — validación de ANTHROPIC_API_KEY al arrancar; si no está definida el servidor falla inmediatamente con process.exit(1)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LS: Implementa S-07 — corrige idComercio hardcodeado en Lider usando obtenerComercioId('Lider') consistente con Jumbo y Tottus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Revisa cambios y confirma que las variables de entorno están documentadas correctamente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Variables de entorno scraper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Documentar todas las variables en .env.example antes del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Scraper production-ready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Todos los miembros del equipo deben configurar su .env local antes de correr el scraper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Hacer push de cambios Plan B scraper a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06-06-2026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Iniciar Plan B backend — EventoService y capa de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07-06-2026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/>
        <w:drawing>
          <wp:inline distB="0" distT="0" distL="0" distR="0">
            <wp:extent cx="1238250" cy="45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Sesión de trabajo individual de LS. 4 de 11 ítems del scraper completados (S-04, S-07, S-09, S-10).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Duoc UC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MQfiaG8rry2voODIvudr0UGOWg==">CgMxLjA4AHIhMXVzWlN6NkNUQlVzemx5dF9rRU16RmM1VDN5M0QtOXJL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