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c0c0c0"/>
          <w:sz w:val="32"/>
          <w:szCs w:val="32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200"/>
        <w:gridCol w:w="4560"/>
        <w:gridCol w:w="2400"/>
        <w:tblGridChange w:id="0">
          <w:tblGrid>
            <w:gridCol w:w="1200"/>
            <w:gridCol w:w="12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BAS01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22-04-2026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1560"/>
        <w:gridCol w:w="1800"/>
        <w:gridCol w:w="3200"/>
        <w:tblGridChange w:id="0">
          <w:tblGrid>
            <w:gridCol w:w="2800"/>
            <w:gridCol w:w="1560"/>
            <w:gridCol w:w="1800"/>
            <w:gridCol w:w="3200"/>
          </w:tblGrid>
        </w:tblGridChange>
      </w:tblGrid>
      <w:tr>
        <w:trPr>
          <w:cantSplit w:val="0"/>
          <w:tblHeader w:val="1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JM, RA, LS: Revisión del avance del módulo frontend y definición de nueva interfaz de creación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JM, RA, LS: Planificación del catálogo de productos para el wizard de creación de eventos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RA: Presenta propuesta de nueva interfaz para el módulo 'Crear Evento' con flujo wizard en múltiples pasos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JM: Propone estructura del catálogo de productos con categorías: proteínas, bebestibles, insumos y ensaladas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LS: Revisa integración del backend con el frontend y confirma endpoints disponibles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Equipo acuerda reemplazar el módulo actual por la nueva interfaz de catálogo con selección visual de productos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Nueva interfaz Crear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sdt>
              <w:sdtPr>
                <w:id w:val="185201921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rtl w:val="0"/>
                  </w:rPr>
                  <w:t xml:space="preserve">Implementar wizard de 4 pasos: catálogo → configuración → cotización → reparto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Catálogo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Diseñar tarjetas de producto con precio, calorías y comercio de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Integración frontend-backend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Mantener llamadas REST existentes sin modificar endpoints del backend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1560"/>
        <w:gridCol w:w="2800"/>
        <w:tblGridChange w:id="0">
          <w:tblGrid>
            <w:gridCol w:w="5000"/>
            <w:gridCol w:w="1560"/>
            <w:gridCol w:w="2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Implementar componente ProductCatalogStep con filtros por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26-04-2026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Integrar nuevo CreateEvent.tsx con 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26-04-2026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Verificar compatibilidad del backend con nueva estructura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26-04-2026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Reunión de planificación Sprint II. Se define arquitectura del nuevo módulo frontend.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before="200" w:lineRule="auto"/>
        <w:jc w:val="both"/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color w:val="888888"/>
          <w:sz w:val="18"/>
          <w:szCs w:val="18"/>
          <w:rtl w:val="0"/>
        </w:rPr>
        <w:t xml:space="preserve">Duoc UC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2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3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zluAYq79ZmA1zX26JWQHuvkxIg==">CgMxLjAaJQoBMBIgCh4IB0IaCgZUYWhvbWESEEFyaWFsIFVuaWNvZGUgTVM4AHIhMTRlbmdMNjZlcmEtVUdzR2gtX2dRbjVQTzE4YjhfdGVY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