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559"/>
          <w:sz w:val="44"/>
          <w:szCs w:val="44"/>
        </w:rPr>
        <w:t xml:space="preserve">RAMSABARISH V</w:t>
      </w:r>
    </w:p>
    <w:p>
      <w:pPr>
        <w:spacing w:after="90"/>
        <w:jc w:val="center"/>
      </w:pPr>
      <w:r>
        <w:rPr>
          <w:rFonts w:ascii="Cambria" w:cs="Cambria" w:eastAsia="Cambria" w:hAnsi="Cambria"/>
          <w:color w:val="3D5A80"/>
          <w:spacing w:val="12"/>
          <w:sz w:val="20"/>
          <w:szCs w:val="20"/>
        </w:rPr>
        <w:t xml:space="preserve">Product Analyst   ·   Patient Payments, Collections &amp; Revenue Cycle Analytics</w:t>
      </w:r>
    </w:p>
    <w:p>
      <w:pPr>
        <w:pBdr>
          <w:top w:val="single" w:color="1F3559" w:sz="8" w:space="6"/>
        </w:pBdr>
        <w:spacing w:after="3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Chennai, India  (open to relocation — Bangalore / Hyderabad)   ·   +91 88077 83048   ·   ramsabarish007@gmail.com</w:t>
      </w:r>
    </w:p>
    <w:p>
      <w:pPr>
        <w:pBdr>
          <w:bottom w:val="single" w:color="C3D0E0" w:sz="4" w:space="6"/>
        </w:pBdr>
        <w:spacing w:after="60"/>
        <w:jc w:val="center"/>
      </w:pPr>
      <w:hyperlink w:history="1" r:id="rIdenljh-j6igvcaepvceva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linkedin.com/in/ramsabarish-vijayakumar-data-analyst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wt85-mujpblsuioti2bc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github.com/Ramsabarish007</w:t>
        </w:r>
      </w:hyperlink>
    </w:p>
    <w:p>
      <w:pPr>
        <w:keepNext/>
        <w:pBdr>
          <w:bottom w:val="single" w:color="1F3559" w:sz="8" w:space="3"/>
        </w:pBdr>
        <w:spacing w:after="120" w:before="260"/>
      </w:pPr>
      <w:r>
        <w:rPr>
          <w:rFonts w:ascii="Cambria" w:cs="Cambria" w:eastAsia="Cambria" w:hAnsi="Cambria"/>
          <w:b/>
          <w:bCs/>
          <w:color w:val="1F3559"/>
          <w:spacing w:val="40"/>
          <w:sz w:val="21"/>
          <w:szCs w:val="21"/>
        </w:rPr>
        <w:t xml:space="preserve">PROFESSIONAL SUMMARY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Product analyst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9+ years</w:t>
      </w:r>
      <w:r>
        <w:rPr>
          <w:rFonts w:ascii="Calibri" w:cs="Calibri" w:eastAsia="Calibri" w:hAnsi="Calibri"/>
          <w:sz w:val="20"/>
          <w:szCs w:val="20"/>
        </w:rPr>
        <w:t xml:space="preserve"> across healthcare revenue cycle, e-commerce and clinical research, most recently owning analytics for patient payments, collections and insurance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athenahealth</w:t>
      </w:r>
      <w:r>
        <w:rPr>
          <w:rFonts w:ascii="Calibri" w:cs="Calibri" w:eastAsia="Calibri" w:hAnsi="Calibri"/>
          <w:sz w:val="20"/>
          <w:szCs w:val="20"/>
        </w:rPr>
        <w:t xml:space="preserve">. Finds where money and time leak out of the payment lifecycle, sizes the opportunity, and drives the product change that closes it. Works end to end — dimensional modelling and Airflow pipelines on Snowflake, analysis in SQL and Python, and the stakeholder narrative that turns a finding into a shipped decision. Promoted to Senior Associate in 2026 and a five-time “Make a Difference” award recipient.</w:t>
      </w:r>
    </w:p>
    <w:p>
      <w:pPr>
        <w:pBdr>
          <w:top w:val="single" w:color="C3D0E0" w:sz="4" w:space="6"/>
          <w:bottom w:val="single" w:color="C3D0E0" w:sz="4" w:space="6"/>
        </w:pBdr>
        <w:spacing w:after="40" w:before="40" w:line="252"/>
        <w:jc w:val="center"/>
      </w:pPr>
      <w:r>
        <w:rPr>
          <w:rFonts w:ascii="Calibri" w:cs="Calibri" w:eastAsia="Calibri" w:hAnsi="Calibri"/>
          <w:b/>
          <w:bCs/>
          <w:color w:val="1F3559"/>
          <w:sz w:val="18"/>
          <w:szCs w:val="18"/>
        </w:rPr>
        <w:t xml:space="preserve">$6.4M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recovered</w:t>
      </w:r>
      <w:r>
        <w:rPr>
          <w:rFonts w:ascii="Calibri" w:cs="Calibri" w:eastAsia="Calibri" w:hAnsi="Calibri"/>
          <w:color w:val="C3D0E0"/>
          <w:sz w:val="18"/>
          <w:szCs w:val="18"/>
        </w:rPr>
        <w:t xml:space="preserve">    ·    </w:t>
      </w:r>
      <w:r>
        <w:rPr>
          <w:rFonts w:ascii="Calibri" w:cs="Calibri" w:eastAsia="Calibri" w:hAnsi="Calibri"/>
          <w:b/>
          <w:bCs/>
          <w:color w:val="1F3559"/>
          <w:sz w:val="18"/>
          <w:szCs w:val="18"/>
        </w:rPr>
        <w:t xml:space="preserve">2–3% to 8%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bad debt</w:t>
      </w:r>
      <w:r>
        <w:rPr>
          <w:rFonts w:ascii="Calibri" w:cs="Calibri" w:eastAsia="Calibri" w:hAnsi="Calibri"/>
          <w:color w:val="C3D0E0"/>
          <w:sz w:val="18"/>
          <w:szCs w:val="18"/>
        </w:rPr>
        <w:t xml:space="preserve">    ·    </w:t>
      </w:r>
      <w:r>
        <w:rPr>
          <w:rFonts w:ascii="Calibri" w:cs="Calibri" w:eastAsia="Calibri" w:hAnsi="Calibri"/>
          <w:b/>
          <w:bCs/>
          <w:color w:val="1F3559"/>
          <w:sz w:val="18"/>
          <w:szCs w:val="18"/>
        </w:rPr>
        <w:t xml:space="preserve">weeks to 48h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posting</w:t>
      </w:r>
      <w:r>
        <w:rPr>
          <w:rFonts w:ascii="Calibri" w:cs="Calibri" w:eastAsia="Calibri" w:hAnsi="Calibri"/>
          <w:color w:val="C3D0E0"/>
          <w:sz w:val="18"/>
          <w:szCs w:val="18"/>
        </w:rPr>
        <w:t xml:space="preserve">    ·    </w:t>
      </w:r>
      <w:r>
        <w:rPr>
          <w:rFonts w:ascii="Calibri" w:cs="Calibri" w:eastAsia="Calibri" w:hAnsi="Calibri"/>
          <w:b/>
          <w:bCs/>
          <w:color w:val="1F3559"/>
          <w:sz w:val="18"/>
          <w:szCs w:val="18"/>
        </w:rPr>
        <w:t xml:space="preserve">75% to 88%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copay accuracy</w:t>
      </w:r>
    </w:p>
    <w:p>
      <w:pPr>
        <w:keepNext/>
        <w:pBdr>
          <w:bottom w:val="single" w:color="1F3559" w:sz="8" w:space="3"/>
        </w:pBdr>
        <w:spacing w:after="120" w:before="260"/>
      </w:pPr>
      <w:r>
        <w:rPr>
          <w:rFonts w:ascii="Cambria" w:cs="Cambria" w:eastAsia="Cambria" w:hAnsi="Cambria"/>
          <w:b/>
          <w:bCs/>
          <w:color w:val="1F3559"/>
          <w:spacing w:val="40"/>
          <w:sz w:val="21"/>
          <w:szCs w:val="21"/>
        </w:rPr>
        <w:t xml:space="preserve">TECHNICAL SKILLS</w:t>
      </w:r>
    </w:p>
    <w:p>
      <w:pPr>
        <w:tabs>
          <w:tab w:val="left" w:pos="1944"/>
        </w:tabs>
        <w:spacing w:after="40" w:before="40" w:line="252"/>
        <w:ind w:left="1944" w:hanging="1944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Languages &amp; Analysis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SQL (window functions, CTEs, recursion, query optimization), Python (pandas, NumPy, scikit-learn, matplotlib, seaborn), R</w:t>
      </w:r>
    </w:p>
    <w:p>
      <w:pPr>
        <w:tabs>
          <w:tab w:val="left" w:pos="1944"/>
        </w:tabs>
        <w:spacing w:after="40" w:before="40" w:line="252"/>
        <w:ind w:left="1944" w:hanging="1944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Data Platform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Snowflake, Apache Airflow, dbt, dimensional / star-schema modelling, data profiling &amp; test design, semantic layers</w:t>
      </w:r>
    </w:p>
    <w:p>
      <w:pPr>
        <w:tabs>
          <w:tab w:val="left" w:pos="1944"/>
        </w:tabs>
        <w:spacing w:after="40" w:before="40" w:line="252"/>
        <w:ind w:left="1944" w:hanging="1944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Visualization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Tableau, Sigma, Power BI</w:t>
      </w:r>
    </w:p>
    <w:p>
      <w:pPr>
        <w:tabs>
          <w:tab w:val="left" w:pos="1944"/>
        </w:tabs>
        <w:spacing w:after="40" w:before="40" w:line="252"/>
        <w:ind w:left="1944" w:hanging="1944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Methods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A/B testing, cohort &amp; funnel analysis, hypothesis testing, forecasting &amp; time series (ARIMA, Holt-Winters), regression, NLP</w:t>
      </w:r>
    </w:p>
    <w:p>
      <w:pPr>
        <w:tabs>
          <w:tab w:val="left" w:pos="1944"/>
        </w:tabs>
        <w:spacing w:after="40" w:before="40" w:line="252"/>
        <w:ind w:left="1944" w:hanging="1944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Generative AI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LangChain, Autogen (multi-agent), RAG &amp; knowledge graphs, prompt engineering, Claude Code (skills, agent workflows)</w:t>
      </w:r>
    </w:p>
    <w:p>
      <w:pPr>
        <w:tabs>
          <w:tab w:val="left" w:pos="1944"/>
        </w:tabs>
        <w:spacing w:after="40" w:before="40" w:line="252"/>
        <w:ind w:left="1944" w:hanging="1944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Ways of Working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Git, Jira, Confluence, stakeholder readouts, AI-assisted analysis workflows</w:t>
      </w:r>
    </w:p>
    <w:p>
      <w:pPr>
        <w:tabs>
          <w:tab w:val="left" w:pos="1944"/>
        </w:tabs>
        <w:spacing w:after="40" w:before="40" w:line="252"/>
        <w:ind w:left="1944" w:hanging="1944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Domain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20"/>
          <w:szCs w:val="20"/>
        </w:rPr>
        <w:t xml:space="preserve">Healthcare revenue cycle management — patient pay, collections &amp; bad debt, copay &amp; self-pay estimation, insurance eligibility (270/271), claims adjudication, refunds, patient statements</w:t>
      </w:r>
    </w:p>
    <w:p>
      <w:pPr>
        <w:keepNext/>
        <w:pBdr>
          <w:bottom w:val="single" w:color="1F3559" w:sz="8" w:space="3"/>
        </w:pBdr>
        <w:spacing w:after="120" w:before="260"/>
      </w:pPr>
      <w:r>
        <w:rPr>
          <w:rFonts w:ascii="Cambria" w:cs="Cambria" w:eastAsia="Cambria" w:hAnsi="Cambria"/>
          <w:b/>
          <w:bCs/>
          <w:color w:val="1F3559"/>
          <w:spacing w:val="40"/>
          <w:sz w:val="21"/>
          <w:szCs w:val="21"/>
        </w:rPr>
        <w:t xml:space="preserve">PROFESSIONAL EXPERIENCE</w:t>
      </w:r>
    </w:p>
    <w:p>
      <w:pPr>
        <w:keepNext/>
        <w:tabs>
          <w:tab w:val="right" w:pos="10466"/>
        </w:tabs>
        <w:spacing w:after="0" w:before="200"/>
      </w:pPr>
      <w:r>
        <w:rPr>
          <w:rFonts w:ascii="Cambria" w:cs="Cambria" w:eastAsia="Cambria" w:hAnsi="Cambria"/>
          <w:b/>
          <w:bCs/>
          <w:color w:val="1F3559"/>
          <w:sz w:val="23"/>
          <w:szCs w:val="23"/>
        </w:rPr>
        <w:t xml:space="preserve">athenahealth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— Chennai, India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Feb 2024 – Aug 2026</w:t>
      </w:r>
    </w:p>
    <w:p>
      <w:pPr>
        <w:keepNext/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Product Analytics Senior Associate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Apr 2026 – Aug 2026</w:t>
      </w:r>
    </w:p>
    <w:p>
      <w:pPr>
        <w:keepNext/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Product Analytics Associate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Feb 2024 – Mar 2026</w:t>
      </w:r>
    </w:p>
    <w:p>
      <w:pPr>
        <w:keepNext/>
        <w:spacing w:after="80" w:before="5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Patient Pay, Payments &amp; Insurance (PP&amp;I) — supported 6 product owners across releases 25.3–26.7; mentored and onboarded new analysts into the zone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Delivered the analytics behind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Bad Address Reporting from discovery through GA</w:t>
      </w:r>
      <w:r>
        <w:rPr>
          <w:rFonts w:ascii="Calibri" w:cs="Calibri" w:eastAsia="Calibri" w:hAnsi="Calibri"/>
          <w:sz w:val="20"/>
          <w:szCs w:val="20"/>
        </w:rPr>
        <w:t xml:space="preserve"> — quantified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3M patients</w:t>
      </w:r>
      <w:r>
        <w:rPr>
          <w:rFonts w:ascii="Calibri" w:cs="Calibri" w:eastAsia="Calibri" w:hAnsi="Calibri"/>
          <w:sz w:val="20"/>
          <w:szCs w:val="20"/>
        </w:rPr>
        <w:t xml:space="preserve"> whose statements were held on invalid addresses against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$18M in blocked balances</w:t>
      </w:r>
      <w:r>
        <w:rPr>
          <w:rFonts w:ascii="Calibri" w:cs="Calibri" w:eastAsia="Calibri" w:hAnsi="Calibri"/>
          <w:sz w:val="20"/>
          <w:szCs w:val="20"/>
        </w:rPr>
        <w:t xml:space="preserve">, tied held records to recoverable payments, and shipped the dashboard tracking monthly recovery;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$6.4M recovered to date (~35% of held balances)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Sized and root-caused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bad debt problem</w:t>
      </w:r>
      <w:r>
        <w:rPr>
          <w:rFonts w:ascii="Calibri" w:cs="Calibri" w:eastAsia="Calibri" w:hAnsi="Calibri"/>
          <w:sz w:val="20"/>
          <w:szCs w:val="20"/>
        </w:rPr>
        <w:t xml:space="preserve">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10,000 practices</w:t>
      </w:r>
      <w:r>
        <w:rPr>
          <w:rFonts w:ascii="Calibri" w:cs="Calibri" w:eastAsia="Calibri" w:hAnsi="Calibri"/>
          <w:sz w:val="20"/>
          <w:szCs w:val="20"/>
        </w:rPr>
        <w:t xml:space="preserve">: found ~70% of collection policies were automated but frequently overridden, pushing collectable balances into write-off. Drove the change to the minimum-days-before-write-off setting so practices hand off to collection agencies at the right time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recovery rose from 2–3% to 8% of total bad debt, ~$0.5M returned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Diagnosed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Patient Wallet posting bottleneck</w:t>
      </w:r>
      <w:r>
        <w:rPr>
          <w:rFonts w:ascii="Calibri" w:cs="Calibri" w:eastAsia="Calibri" w:hAnsi="Calibri"/>
          <w:sz w:val="20"/>
          <w:szCs w:val="20"/>
        </w:rPr>
        <w:t xml:space="preserve"> — instrumented time-to-post and median days-to-post, traced the delay to the Weasel posting script, and drove the analysis behind the dental Patient Wallet build that now posts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100% of collected payments to the correct charges within 48 hours, down from weeks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Evaluated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CCP modernization / PCI page decoupling</w:t>
      </w:r>
      <w:r>
        <w:rPr>
          <w:rFonts w:ascii="Calibri" w:cs="Calibri" w:eastAsia="Calibri" w:hAnsi="Calibri"/>
          <w:sz w:val="20"/>
          <w:szCs w:val="20"/>
        </w:rPr>
        <w:t xml:space="preserve">, cutting patient-facing wait time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 seconds to 2 seconds</w:t>
      </w:r>
      <w:r>
        <w:rPr>
          <w:rFonts w:ascii="Calibri" w:cs="Calibri" w:eastAsia="Calibri" w:hAnsi="Calibri"/>
          <w:sz w:val="20"/>
          <w:szCs w:val="20"/>
        </w:rPr>
        <w:t xml:space="preserve"> across time-of-service and non-TOS flows. Built the payment-request versus successful-posting dashboard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90% daily posting success</w:t>
      </w:r>
      <w:r>
        <w:rPr>
          <w:rFonts w:ascii="Calibri" w:cs="Calibri" w:eastAsia="Calibri" w:hAnsi="Calibri"/>
          <w:sz w:val="20"/>
          <w:szCs w:val="20"/>
        </w:rPr>
        <w:t xml:space="preserve">) and recommended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phased rollout validated by A/B testing</w:t>
      </w:r>
      <w:r>
        <w:rPr>
          <w:rFonts w:ascii="Calibri" w:cs="Calibri" w:eastAsia="Calibri" w:hAnsi="Calibri"/>
          <w:sz w:val="20"/>
          <w:szCs w:val="20"/>
        </w:rPr>
        <w:t xml:space="preserve"> over a single cutover, reducing release risk on a live payment path.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Supported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AI Copay and copay-accuracy analytics</w:t>
      </w:r>
      <w:r>
        <w:rPr>
          <w:rFonts w:ascii="Calibri" w:cs="Calibri" w:eastAsia="Calibri" w:hAnsi="Calibri"/>
          <w:sz w:val="20"/>
          <w:szCs w:val="20"/>
        </w:rPr>
        <w:t xml:space="preserve"> — isolated adjudicated claims, excluded non-adjudicated instances from the dashboard, and partnered with Data Science to deduplicate prediction records;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copay prediction accuracy improved from 75% to 88%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Drove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client escalation on unapplied money</w:t>
      </w:r>
      <w:r>
        <w:rPr>
          <w:rFonts w:ascii="Calibri" w:cs="Calibri" w:eastAsia="Calibri" w:hAnsi="Calibri"/>
          <w:sz w:val="20"/>
          <w:szCs w:val="20"/>
        </w:rPr>
        <w:t xml:space="preserve"> held up by claim-hold defects and the Weasel script’s money-reservation logic; proposed a revised posting approach that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released ~50% of the tied-up unapplied balance</w:t>
      </w:r>
      <w:r>
        <w:rPr>
          <w:rFonts w:ascii="Calibri" w:cs="Calibri" w:eastAsia="Calibri" w:hAnsi="Calibri"/>
          <w:sz w:val="20"/>
          <w:szCs w:val="20"/>
        </w:rPr>
        <w:t xml:space="preserve">. Singled out by stakeholders for ownership and persistence.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Owned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platform and pipeline work</w:t>
      </w:r>
      <w:r>
        <w:rPr>
          <w:rFonts w:ascii="Calibri" w:cs="Calibri" w:eastAsia="Calibri" w:hAnsi="Calibri"/>
          <w:sz w:val="20"/>
          <w:szCs w:val="20"/>
        </w:rPr>
        <w:t xml:space="preserve"> across the zone: led a Snowflake cost-reduction workstream in a cross-functional DRI group — retiring stale, high-cost Airflow jobs after coordinating downstream users and building a credit-monitoring dashboard that gave per-job cost visibility for the first time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~$400/month recurring spend removed, no disruption to active pipelines</w:t>
      </w:r>
      <w:r>
        <w:rPr>
          <w:rFonts w:ascii="Calibri" w:cs="Calibri" w:eastAsia="Calibri" w:hAnsi="Calibri"/>
          <w:sz w:val="20"/>
          <w:szCs w:val="20"/>
        </w:rPr>
        <w:t xml:space="preserve">) — and contributed to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ADW Insurance Package Dimension refactor</w:t>
      </w:r>
      <w:r>
        <w:rPr>
          <w:rFonts w:ascii="Calibri" w:cs="Calibri" w:eastAsia="Calibri" w:hAnsi="Calibri"/>
          <w:sz w:val="20"/>
          <w:szCs w:val="20"/>
        </w:rPr>
        <w:t xml:space="preserve"> and SPYCE automation via multiple PRs.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Ran the analysis informing decisions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self-pay cost estimation from payer 270/271 eligibility responses, specialty-level insurance recommendations for mental health, Dental Prepayment Plans, eCheck migration, patient statements, refunds, Card on File trends, autovoid and enhanced self-check-in</w:t>
      </w:r>
      <w:r>
        <w:rPr>
          <w:rFonts w:ascii="Calibri" w:cs="Calibri" w:eastAsia="Calibri" w:hAnsi="Calibri"/>
          <w:sz w:val="20"/>
          <w:szCs w:val="20"/>
        </w:rPr>
        <w:t xml:space="preserve"> — including the payment-method analysis that determined which dropdowns were retained on the non-TOS page. Migrated core reporting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Tableau to Sigma</w:t>
      </w:r>
      <w:r>
        <w:rPr>
          <w:rFonts w:ascii="Calibri" w:cs="Calibri" w:eastAsia="Calibri" w:hAnsi="Calibri"/>
          <w:sz w:val="20"/>
          <w:szCs w:val="20"/>
        </w:rPr>
        <w:t xml:space="preserve"> and began the Patient Pay semantic layer to move recurring questions toward self-serve.</w:t>
      </w:r>
    </w:p>
    <w:p>
      <w:pPr>
        <w:keepNext/>
        <w:tabs>
          <w:tab w:val="right" w:pos="10466"/>
        </w:tabs>
        <w:spacing w:after="0" w:before="200"/>
      </w:pPr>
      <w:r>
        <w:rPr>
          <w:rFonts w:ascii="Cambria" w:cs="Cambria" w:eastAsia="Cambria" w:hAnsi="Cambria"/>
          <w:b/>
          <w:bCs/>
          <w:color w:val="1F3559"/>
          <w:sz w:val="23"/>
          <w:szCs w:val="23"/>
        </w:rPr>
        <w:t xml:space="preserve">Flipkart India Pvt Ltd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— Bangalore, India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Dec 2021 – Nov 2023</w:t>
      </w:r>
    </w:p>
    <w:p>
      <w:pPr>
        <w:keepNext/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Data Analyst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seller risk-score model</w:t>
      </w:r>
      <w:r>
        <w:rPr>
          <w:rFonts w:ascii="Calibri" w:cs="Calibri" w:eastAsia="Calibri" w:hAnsi="Calibri"/>
          <w:sz w:val="20"/>
          <w:szCs w:val="20"/>
        </w:rPr>
        <w:t xml:space="preserve"> with the compliance and safety teams — logistic regression and random forest over Hive-sourced metadata, with NLP for text classification, NER and sentiment — removing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50%</w:t>
      </w:r>
      <w:r>
        <w:rPr>
          <w:rFonts w:ascii="Calibri" w:cs="Calibri" w:eastAsia="Calibri" w:hAnsi="Calibri"/>
          <w:sz w:val="20"/>
          <w:szCs w:val="20"/>
        </w:rPr>
        <w:t xml:space="preserve"> of manual review effort.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60%</w:t>
      </w:r>
      <w:r>
        <w:rPr>
          <w:rFonts w:ascii="Calibri" w:cs="Calibri" w:eastAsia="Calibri" w:hAnsi="Calibri"/>
          <w:sz w:val="20"/>
          <w:szCs w:val="20"/>
        </w:rPr>
        <w:t xml:space="preserve"> of manual metrics reporting and RCA analysis into scheduled Power BI dashboards.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Designed fact table schemas for structured, query-efficient storage, cutting downstream computational effort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10%</w:t>
      </w:r>
      <w:r>
        <w:rPr>
          <w:rFonts w:ascii="Calibri" w:cs="Calibri" w:eastAsia="Calibri" w:hAnsi="Calibri"/>
          <w:sz w:val="20"/>
          <w:szCs w:val="20"/>
        </w:rPr>
        <w:t xml:space="preserve">; migrated legacy QlikView facts to internal platforms, halving maintenance.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Automated Big Billion Days sale reporting on GCP with Python to support war-room decisions, cutting manual effort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50%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Delivered demand analytics for Flipkart Home Service and KPI trend forecasting for the planning team, improving manpower utilisation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20%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keepNext/>
        <w:tabs>
          <w:tab w:val="right" w:pos="10466"/>
        </w:tabs>
        <w:spacing w:after="0" w:before="200"/>
      </w:pPr>
      <w:r>
        <w:rPr>
          <w:rFonts w:ascii="Cambria" w:cs="Cambria" w:eastAsia="Cambria" w:hAnsi="Cambria"/>
          <w:b/>
          <w:bCs/>
          <w:color w:val="1F3559"/>
          <w:sz w:val="23"/>
          <w:szCs w:val="23"/>
        </w:rPr>
        <w:t xml:space="preserve">IQVIA RDS Pvt Ltd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— Bangalore, India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Jan 2020 – Nov 2021</w:t>
      </w:r>
    </w:p>
    <w:p>
      <w:pPr>
        <w:keepNext/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Business Analyst (Operations Specialist I)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Built KPIs and predictive models in Python on pharmaceutical datasets, identifying predictive factors for drug success.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Developed department-wide allocation and productivity tracking in a VBA application with Power BI reporting.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Built preprocessing pipelines for a pharma client and ran EDA surfacing correlations and outliers that fed statistical metrics.</w:t>
      </w:r>
    </w:p>
    <w:p>
      <w:pPr>
        <w:keepNext/>
        <w:tabs>
          <w:tab w:val="right" w:pos="10466"/>
        </w:tabs>
        <w:spacing w:after="0" w:before="200"/>
      </w:pPr>
      <w:r>
        <w:rPr>
          <w:rFonts w:ascii="Cambria" w:cs="Cambria" w:eastAsia="Cambria" w:hAnsi="Cambria"/>
          <w:b/>
          <w:bCs/>
          <w:color w:val="1F3559"/>
          <w:sz w:val="23"/>
          <w:szCs w:val="23"/>
        </w:rPr>
        <w:t xml:space="preserve">ICON PLC Pvt Ltd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— Bangalore, India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Oct 2016 – Jan 2020</w:t>
      </w:r>
    </w:p>
    <w:p>
      <w:pPr>
        <w:keepNext/>
        <w:tabs>
          <w:tab w:val="right" w:pos="10466"/>
        </w:tabs>
        <w:spacing w:after="0" w:before="6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Data Analyst (TMF Specialist I &amp; II)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Implemented data quality rules and standards within the data model to ensure accuracy, consistency and reliability.</w:t>
      </w:r>
    </w:p>
    <w:p>
      <w:pPr>
        <w:pStyle w:val="ListParagraph"/>
        <w:keepLines/>
        <w:numPr>
          <w:ilvl w:val="0"/>
          <w:numId w:val="2"/>
        </w:numPr>
        <w:spacing w:after="50" w:before="50" w:line="252"/>
      </w:pPr>
      <w:r>
        <w:rPr>
          <w:rFonts w:ascii="Calibri" w:cs="Calibri" w:eastAsia="Calibri" w:hAnsi="Calibri"/>
          <w:sz w:val="20"/>
          <w:szCs w:val="20"/>
        </w:rPr>
        <w:t xml:space="preserve">Translated business requirements into data structures with business analysts and operations; ran data preparation, wrangling and team-level A/B testing.</w:t>
      </w:r>
    </w:p>
    <w:p>
      <w:pPr>
        <w:keepNext/>
        <w:pBdr>
          <w:bottom w:val="single" w:color="1F3559" w:sz="8" w:space="3"/>
        </w:pBdr>
        <w:spacing w:after="120" w:before="260"/>
      </w:pPr>
      <w:r>
        <w:rPr>
          <w:rFonts w:ascii="Cambria" w:cs="Cambria" w:eastAsia="Cambria" w:hAnsi="Cambria"/>
          <w:b/>
          <w:bCs/>
          <w:color w:val="1F3559"/>
          <w:spacing w:val="40"/>
          <w:sz w:val="21"/>
          <w:szCs w:val="21"/>
        </w:rPr>
        <w:t xml:space="preserve">GENERATIVE AI PORTFOLIO</w:t>
      </w:r>
    </w:p>
    <w:p>
      <w:pPr>
        <w:spacing w:after="60" w:before="60" w:line="252"/>
        <w:ind w:left="316" w:hanging="316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Claude Code — analytical knowledge base.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Built custom Claude Code skills that capture and structure past analyses into a searchable knowledge base, reducing repeat discovery effort on recurring stakeholder questions.</w:t>
      </w:r>
    </w:p>
    <w:p>
      <w:pPr>
        <w:spacing w:after="60" w:before="60" w:line="252"/>
        <w:ind w:left="316" w:hanging="316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Skill evaluation with SkillBench.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Ran and presented a structured evaluation of skill performance using the SkillBench evaluation framework.</w:t>
      </w:r>
    </w:p>
    <w:p>
      <w:pPr>
        <w:spacing w:after="60" w:before="60" w:line="252"/>
        <w:ind w:left="316" w:hanging="316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GenAI project portfolio.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hyperlink w:history="1" r:id="rIdztmzri6_hh88xdrqiiwiq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github.com/Ramsabarish007/SocialEagle_GenAI_Course</w:t>
        </w:r>
      </w:hyperlink>
      <w:r>
        <w:rPr>
          <w:rFonts w:ascii="Calibri" w:cs="Calibri" w:eastAsia="Calibri" w:hAnsi="Calibri"/>
          <w:sz w:val="20"/>
          <w:szCs w:val="20"/>
        </w:rPr>
        <w:t xml:space="preserve"> — LangChain LLM applications, Autogen multi-agent automation, knowledge-graph + LangChain retrieval, an AI voice agent, RPA workflows and Flask deployment.</w:t>
      </w:r>
    </w:p>
    <w:p>
      <w:pPr>
        <w:spacing w:after="60" w:before="60" w:line="252"/>
        <w:ind w:left="316" w:hanging="316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Multimodal sarcasm detection.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Joint image-and-text model detecting sarcasm in memes by estimating the gap between literal and contextual meaning; LSTMs, GRUs, transformers and LLMs.</w:t>
      </w:r>
    </w:p>
    <w:p>
      <w:pPr>
        <w:keepNext/>
        <w:pBdr>
          <w:bottom w:val="single" w:color="1F3559" w:sz="8" w:space="3"/>
        </w:pBdr>
        <w:spacing w:after="120" w:before="260"/>
      </w:pPr>
      <w:r>
        <w:rPr>
          <w:rFonts w:ascii="Cambria" w:cs="Cambria" w:eastAsia="Cambria" w:hAnsi="Cambria"/>
          <w:b/>
          <w:bCs/>
          <w:color w:val="1F3559"/>
          <w:spacing w:val="40"/>
          <w:sz w:val="21"/>
          <w:szCs w:val="21"/>
        </w:rPr>
        <w:t xml:space="preserve">EDUCATION, CERTIFICATIONS &amp; AWARDS</w:t>
      </w:r>
    </w:p>
    <w:p>
      <w:pPr>
        <w:tabs>
          <w:tab w:val="right" w:pos="10466"/>
        </w:tabs>
        <w:spacing w:after="40" w:before="6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M.Sc. Data Science</w:t>
      </w:r>
      <w:r>
        <w:rPr>
          <w:rFonts w:ascii="Calibri" w:cs="Calibri" w:eastAsia="Calibri" w:hAnsi="Calibri"/>
          <w:sz w:val="20"/>
          <w:szCs w:val="20"/>
        </w:rPr>
        <w:t xml:space="preserve"> — Liverpool John Moores University, with PG Diploma in Data Science, IIIT Bangalore (upGrad)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Jan 2023</w:t>
      </w:r>
    </w:p>
    <w:p>
      <w:pPr>
        <w:tabs>
          <w:tab w:val="right" w:pos="10466"/>
        </w:tabs>
        <w:spacing w:after="40" w:before="4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B.Tech, Bioinformatics</w:t>
      </w:r>
      <w:r>
        <w:rPr>
          <w:rFonts w:ascii="Calibri" w:cs="Calibri" w:eastAsia="Calibri" w:hAnsi="Calibri"/>
          <w:sz w:val="20"/>
          <w:szCs w:val="20"/>
        </w:rPr>
        <w:t xml:space="preserve"> — SRM University, Kattankulathur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Jun 2016</w:t>
      </w:r>
    </w:p>
    <w:p>
      <w:pPr>
        <w:tabs>
          <w:tab w:val="right" w:pos="10466"/>
        </w:tabs>
        <w:spacing w:after="40" w:before="4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Claude Code training, Anthropic</w:t>
      </w:r>
      <w:r>
        <w:rPr>
          <w:rFonts w:ascii="Calibri" w:cs="Calibri" w:eastAsia="Calibri" w:hAnsi="Calibri"/>
          <w:sz w:val="20"/>
          <w:szCs w:val="20"/>
        </w:rPr>
        <w:t xml:space="preserve"> — delivered via athenahealth internal enablement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2026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3D5A80"/>
          <w:sz w:val="20"/>
          <w:szCs w:val="20"/>
        </w:rPr>
        <w:t xml:space="preserve">“Make a Difference” award, athenahealth</w:t>
      </w:r>
      <w:r>
        <w:rPr>
          <w:rFonts w:ascii="Calibri" w:cs="Calibri" w:eastAsia="Calibri" w:hAnsi="Calibri"/>
          <w:sz w:val="20"/>
          <w:szCs w:val="20"/>
        </w:rPr>
        <w:t xml:space="preserve"> — five-time recipient, for impact across the Patient Pay &amp; Insurance zone</w:t>
      </w:r>
    </w:p>
    <w:sectPr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30"/>
      </w:pPr>
      <w:rPr>
        <w:color w:val="3D5A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nljh-j6igvcaepvcevap" Type="http://schemas.openxmlformats.org/officeDocument/2006/relationships/hyperlink" Target="https://www.linkedin.com/in/ramsabarish-vijayakumar-data-analyst" TargetMode="External"/><Relationship Id="rIdwt85-mujpblsuioti2bcu" Type="http://schemas.openxmlformats.org/officeDocument/2006/relationships/hyperlink" Target="https://github.com/Ramsabarish007" TargetMode="External"/><Relationship Id="rIdztmzri6_hh88xdrqiiwiq" Type="http://schemas.openxmlformats.org/officeDocument/2006/relationships/hyperlink" Target="https://github.com/Ramsabarish007/SocialEagle_GenAI_Cours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Ramsabarish V — Product Analyst Resume</dc:title>
  <dc:creator>Ramsabarish V</dc:creator>
  <dc:description>Product Analyst | Patient Payments, Collections &amp; Revenue Cycle Analytics</dc:description>
  <cp:lastModifiedBy>Un-named</cp:lastModifiedBy>
  <cp:revision>1</cp:revision>
  <dcterms:created xsi:type="dcterms:W3CDTF">2026-08-08T14:02:24.395Z</dcterms:created>
  <dcterms:modified xsi:type="dcterms:W3CDTF">2026-08-08T14:02:24.400Z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