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pgSz w:w="12240" w:h="15840"/>
      <w:pgMar w:top="1440" w:right="1440" w:bottom="1440" w:left="1440" w:header="720" w:footer="720" w:gutter="0"/>
    </w:sectPr>
    <w:p>
      <w:pPr>
        <w:jc w:val="center"/>
        <w:spacing w:before="0" w:after="40"/>
        <w:shd w:val="clear" w:color="auto" w:fill="1F3864"/>
      </w:pPr>
      <w:r>
        <w:rPr>
          <w:b/>
          <w:sz w:val="16"/>
          <w:szCs w:val="16"/>
          <w:color w:val="FFFFFF"/>
        </w:rPr>
        <w:t xml:space="preserve">COMMERCIAL IN CONFIDENCE  ·  PRIVILEGED &amp; CONFIDENTIAL  ·  PATENT FILING SUPPORT</w:t>
      </w:r>
    </w:p>
    <w:p>
      <w:pPr>
        <w:jc w:val="left"/>
        <w:spacing w:before="0" w:after="60"/>
      </w:pPr>
      <w:r>
        <w:rPr>
          <w:sz w:val="14"/>
          <w:szCs w:val="14"/>
        </w:rPr>
        <w:t xml:space="preserve"> </w:t>
      </w:r>
    </w:p>
    <w:p>
      <w:pPr>
        <w:jc w:val="center"/>
        <w:spacing w:before="0" w:after="40"/>
      </w:pPr>
      <w:r>
        <w:rPr>
          <w:b/>
          <w:sz w:val="40"/>
          <w:szCs w:val="40"/>
          <w:color w:val="1F3864"/>
        </w:rPr>
        <w:t xml:space="preserve">OMNIBLEND AI ENGINE</w:t>
      </w:r>
    </w:p>
    <w:p>
      <w:pPr>
        <w:jc w:val="center"/>
        <w:spacing w:before="0" w:after="80"/>
      </w:pPr>
      <w:r>
        <w:rPr>
          <w:b/>
          <w:sz w:val="26"/>
          <w:szCs w:val="26"/>
          <w:color w:val="2E75B6"/>
        </w:rPr>
        <w:t xml:space="preserve">Blend Process Intelligence Platform</w:t>
      </w:r>
    </w:p>
    <w:p>
      <w:pPr>
        <w:jc w:val="center"/>
        <w:spacing w:before="0" w:after="160"/>
      </w:pPr>
      <w:r>
        <w:rPr>
          <w:i/>
          <w:sz w:val="22"/>
          <w:szCs w:val="22"/>
          <w:color w:val="595959"/>
        </w:rPr>
        <w:t xml:space="preserve">The AI/ML Models in a Blend Event, and How Each One Is Trained</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Look w:val="04A0"/>
      </w:tblPr>
      <w:tr>
        <w:tc>
          <w:tcPr>
            <w:tcW w:w="2000" w:type="pct"/>
            <w:shd w:val="clear" w:color="000000" w:fill="D6E4F0"/>
          </w:tcPr>
          <w:p>
            <w:pPr>
              <w:spacing w:before="40" w:after="40"/>
              <w:jc w:val="left"/>
            </w:pPr>
            <w:r>
              <w:rPr>
                <w:sz w:val="18"/>
                <w:szCs w:val="18"/>
                <w:color w:val="000000"/>
              </w:rPr>
              <w:t xml:space="preserve">Prepared for</w:t>
            </w:r>
          </w:p>
        </w:tc>
        <w:tc>
          <w:tcPr>
            <w:tcW w:w="3000" w:type="pct"/>
            <w:shd w:val="clear" w:color="000000" w:fill="D6E4F0"/>
          </w:tcPr>
          <w:p>
            <w:pPr>
              <w:spacing w:before="40" w:after="40"/>
              <w:jc w:val="left"/>
            </w:pPr>
            <w:r>
              <w:rPr>
                <w:sz w:val="18"/>
                <w:szCs w:val="18"/>
                <w:color w:val="000000"/>
              </w:rPr>
              <w:t xml:space="preserve">OmniBlend Product &amp;amp; Engineering Teams</w:t>
            </w:r>
          </w:p>
        </w:tc>
      </w:tr>
      <w:tr>
        <w:tc>
          <w:tcPr>
            <w:tcW w:w="2000" w:type="pct"/>
            <w:shd w:val="clear" w:color="000000" w:fill="FFFFFF"/>
          </w:tcPr>
          <w:p>
            <w:pPr>
              <w:spacing w:before="40" w:after="40"/>
              <w:jc w:val="left"/>
            </w:pPr>
            <w:r>
              <w:rPr>
                <w:sz w:val="18"/>
                <w:szCs w:val="18"/>
                <w:color w:val="000000"/>
              </w:rPr>
              <w:t xml:space="preserve">Subject domain</w:t>
            </w:r>
          </w:p>
        </w:tc>
        <w:tc>
          <w:tcPr>
            <w:tcW w:w="3000" w:type="pct"/>
            <w:shd w:val="clear" w:color="000000" w:fill="FFFFFF"/>
          </w:tcPr>
          <w:p>
            <w:pPr>
              <w:spacing w:before="40" w:after="40"/>
              <w:jc w:val="left"/>
            </w:pPr>
            <w:r>
              <w:rPr>
                <w:sz w:val="18"/>
                <w:szCs w:val="18"/>
                <w:color w:val="000000"/>
              </w:rPr>
              <w:t xml:space="preserve">Lube Oil Blending Plant (LOBP) Optimisation</w:t>
            </w:r>
          </w:p>
        </w:tc>
      </w:tr>
      <w:tr>
        <w:tc>
          <w:tcPr>
            <w:tcW w:w="2000" w:type="pct"/>
            <w:shd w:val="clear" w:color="000000" w:fill="D6E4F0"/>
          </w:tcPr>
          <w:p>
            <w:pPr>
              <w:spacing w:before="40" w:after="40"/>
              <w:jc w:val="left"/>
            </w:pPr>
            <w:r>
              <w:rPr>
                <w:sz w:val="18"/>
                <w:szCs w:val="18"/>
                <w:color w:val="000000"/>
              </w:rPr>
              <w:t xml:space="preserve">Models covered</w:t>
            </w:r>
          </w:p>
        </w:tc>
        <w:tc>
          <w:tcPr>
            <w:tcW w:w="3000" w:type="pct"/>
            <w:shd w:val="clear" w:color="000000" w:fill="D6E4F0"/>
          </w:tcPr>
          <w:p>
            <w:pPr>
              <w:spacing w:before="40" w:after="40"/>
              <w:jc w:val="left"/>
            </w:pPr>
            <w:r>
              <w:rPr>
                <w:sz w:val="18"/>
                <w:szCs w:val="18"/>
                <w:color w:val="000000"/>
              </w:rPr>
              <w:t xml:space="preserve">9 AI/ML models that execute a blend event</w:t>
            </w:r>
          </w:p>
        </w:tc>
      </w:tr>
      <w:tr>
        <w:tc>
          <w:tcPr>
            <w:tcW w:w="2000" w:type="pct"/>
            <w:shd w:val="clear" w:color="000000" w:fill="FFFFFF"/>
          </w:tcPr>
          <w:p>
            <w:pPr>
              <w:spacing w:before="40" w:after="40"/>
              <w:jc w:val="left"/>
            </w:pPr>
            <w:r>
              <w:rPr>
                <w:sz w:val="18"/>
                <w:szCs w:val="18"/>
                <w:color w:val="000000"/>
              </w:rPr>
              <w:t xml:space="preserve">Document series</w:t>
            </w:r>
          </w:p>
        </w:tc>
        <w:tc>
          <w:tcPr>
            <w:tcW w:w="3000" w:type="pct"/>
            <w:shd w:val="clear" w:color="000000" w:fill="FFFFFF"/>
          </w:tcPr>
          <w:p>
            <w:pPr>
              <w:spacing w:before="40" w:after="40"/>
              <w:jc w:val="left"/>
            </w:pPr>
            <w:r>
              <w:rPr>
                <w:sz w:val="18"/>
                <w:szCs w:val="18"/>
                <w:color w:val="000000"/>
              </w:rPr>
              <w:t xml:space="preserve">OmniBlend AI Model Registry</w:t>
            </w:r>
          </w:p>
        </w:tc>
      </w:tr>
      <w:tr>
        <w:tc>
          <w:tcPr>
            <w:tcW w:w="2000" w:type="pct"/>
            <w:shd w:val="clear" w:color="000000" w:fill="D6E4F0"/>
          </w:tcPr>
          <w:p>
            <w:pPr>
              <w:spacing w:before="40" w:after="40"/>
              <w:jc w:val="left"/>
            </w:pPr>
            <w:r>
              <w:rPr>
                <w:sz w:val="18"/>
                <w:szCs w:val="18"/>
                <w:color w:val="000000"/>
              </w:rPr>
              <w:t xml:space="preserve">Date</w:t>
            </w:r>
          </w:p>
        </w:tc>
        <w:tc>
          <w:tcPr>
            <w:tcW w:w="3000" w:type="pct"/>
            <w:shd w:val="clear" w:color="000000" w:fill="D6E4F0"/>
          </w:tcPr>
          <w:p>
            <w:pPr>
              <w:spacing w:before="40" w:after="40"/>
              <w:jc w:val="left"/>
            </w:pPr>
            <w:r>
              <w:rPr>
                <w:sz w:val="18"/>
                <w:szCs w:val="18"/>
                <w:color w:val="000000"/>
              </w:rPr>
              <w:t xml:space="preserve">May 2026</w:t>
            </w:r>
          </w:p>
        </w:tc>
      </w:tr>
    </w:tbl>
    <w:p>
      <w:pPr>
        <w:jc w:val="left"/>
        <w:spacing w:before="0" w:after="40"/>
      </w:pPr>
      <w:r>
        <w:rPr>
          <w:sz w:val="12"/>
          <w:szCs w:val="12"/>
        </w:rPr>
        <w:t xml:space="preserve"> </w:t>
      </w:r>
    </w:p>
    <w:p>
      <w:pPr>
        <w:jc w:val="left"/>
        <w:spacing w:before="0" w:after="80"/>
      </w:pPr>
      <w:r>
        <w:rPr>
          <w:i/>
          <w:sz w:val="18"/>
          <w:szCs w:val="18"/>
          <w:color w:val="595959"/>
        </w:rPr>
        <w:t xml:space="preserve">Prepared as a technical reference for product, engineering, and strategic counsel. This document explains the AI/ML architecture of the OmniBlend platform — how each model functions, how it is trained on historical blend data, and how it improves autonomously after every production event. The document is structured to support patent claim language for the continuous-learning architecture and the closed-loop refinement mechanism that distinguishes OmniBlend from static rule-based systems.</w:t>
      </w:r>
    </w:p>
    <w:p>
      <w:r>
        <w:br w:type="page"/>
      </w:r>
    </w:p>
    <w:p>
      <w:pPr>
        <w:pStyle w:val="Heading1"/>
        <w:spacing w:before="200" w:after="80"/>
      </w:pPr>
      <w:r>
        <w:rPr>
          <w:b/>
          <w:sz w:val="28"/>
          <w:szCs w:val="28"/>
          <w:color w:val="1F3864"/>
        </w:rPr>
        <w:t xml:space="preserve">1.  Purpose and Scope</w:t>
      </w:r>
    </w:p>
    <w:p>
      <w:pPr>
        <w:jc w:val="left"/>
        <w:spacing w:before="0" w:after="100"/>
      </w:pPr>
      <w:r>
        <w:rPr>
          <w:sz w:val="19"/>
          <w:szCs w:val="19"/>
        </w:rPr>
        <w:t xml:space="preserve">This document responds to the engineering and commercial team's request for a technical explanation of the AI/ML models inside OmniBlend and how each is trained. It covers the full blend event — from COA data ingestion through recipe rebalancing, savings attribution, quality scoring, supplier optimisation, and post-batch refinement. The format deliberately mirrors a patent filing support document so it can serve both internal understanding and external IP counsel simultaneously.</w:t>
      </w:r>
    </w:p>
    <w:p>
      <w:pPr>
        <w:jc w:val="left"/>
        <w:spacing w:before="0" w:after="100"/>
      </w:pPr>
      <w:r>
        <w:rPr>
          <w:sz w:val="19"/>
          <w:szCs w:val="19"/>
        </w:rPr>
        <w:t xml:space="preserve">A blend event in OmniBlend is not processed by a single model. It is executed by a chain of nine AI/ML models, each with a distinct responsibility. This document walks that chain in the sequence the models act during a live batch, and for each one explains, in plain language, what it does, how it is trained on historical data, and — critically — how it learns and improves over time without manual retraining.</w:t>
      </w:r>
    </w:p>
    <w:p>
      <w:pPr>
        <w:jc w:val="left"/>
        <w:spacing w:before="0" w:after="160"/>
      </w:pPr>
      <w:r>
        <w:rPr>
          <w:sz w:val="19"/>
          <w:szCs w:val="19"/>
        </w:rPr>
        <w:t xml:space="preserve">The most important training fact, true of every model below, is that none of them is static after deployment. After every batch event, OmniBlend compares what it predicted against what the laboratory actually measured, and feeds that difference back to refine the models. This closed-loop, per-batch, autonomous retraining is the central patentable innovation of the OmniBlend platform.</w:t>
      </w:r>
    </w:p>
    <w:p>
      <w:pPr>
        <w:jc w:val="left"/>
        <w:spacing w:before="0" w:after="80"/>
      </w:pPr>
      <w:r>
        <w:rPr>
          <w:b/>
          <w:sz w:val="21"/>
          <w:szCs w:val="21"/>
          <w:color w:val="2E75B6"/>
        </w:rPr>
        <w:t xml:space="preserve">1.1  The blend model chain at a glance</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Look w:val="04A0"/>
      </w:tblPr>
      <w:tr>
        <w:tc>
          <w:tcPr>
            <w:tcW w:w="400" w:type="pct"/>
            <w:shd w:val="clear" w:color="FFFFFF" w:fill="1F3864"/>
          </w:tcPr>
          <w:p>
            <w:pPr>
              <w:spacing w:before="40" w:after="40"/>
              <w:jc w:val="left"/>
            </w:pPr>
            <w:r>
              <w:rPr>
                <w:b/>
                <w:sz w:val="18"/>
                <w:szCs w:val="18"/>
                <w:color w:val="FFFFFF"/>
              </w:rPr>
              <w:t xml:space="preserve">#</w:t>
            </w:r>
          </w:p>
        </w:tc>
        <w:tc>
          <w:tcPr>
            <w:tcW w:w="1500" w:type="pct"/>
            <w:shd w:val="clear" w:color="FFFFFF" w:fill="1F3864"/>
          </w:tcPr>
          <w:p>
            <w:pPr>
              <w:spacing w:before="40" w:after="40"/>
              <w:jc w:val="left"/>
            </w:pPr>
            <w:r>
              <w:rPr>
                <w:b/>
                <w:sz w:val="18"/>
                <w:szCs w:val="18"/>
                <w:color w:val="FFFFFF"/>
              </w:rPr>
              <w:t xml:space="preserve">Model</w:t>
            </w:r>
          </w:p>
        </w:tc>
        <w:tc>
          <w:tcPr>
            <w:tcW w:w="3100" w:type="pct"/>
            <w:shd w:val="clear" w:color="FFFFFF" w:fill="1F3864"/>
          </w:tcPr>
          <w:p>
            <w:pPr>
              <w:spacing w:before="40" w:after="40"/>
              <w:jc w:val="left"/>
            </w:pPr>
            <w:r>
              <w:rPr>
                <w:b/>
                <w:sz w:val="18"/>
                <w:szCs w:val="18"/>
                <w:color w:val="FFFFFF"/>
              </w:rPr>
              <w:t xml:space="preserve">Its job in a blend event</w:t>
            </w:r>
          </w:p>
        </w:tc>
      </w:tr>
      <w:tr>
        <w:tc>
          <w:tcPr>
            <w:tcW w:w="400" w:type="pct"/>
            <w:shd w:val="clear" w:color="000000" w:fill="FFFFFF"/>
          </w:tcPr>
          <w:p>
            <w:pPr>
              <w:spacing w:before="40" w:after="40"/>
              <w:jc w:val="left"/>
            </w:pPr>
            <w:r>
              <w:rPr>
                <w:sz w:val="18"/>
                <w:szCs w:val="18"/>
                <w:color w:val="000000"/>
              </w:rPr>
              <w:t xml:space="preserve">1</w:t>
            </w:r>
          </w:p>
        </w:tc>
        <w:tc>
          <w:tcPr>
            <w:tcW w:w="1500" w:type="pct"/>
            <w:shd w:val="clear" w:color="000000" w:fill="FFFFFF"/>
          </w:tcPr>
          <w:p>
            <w:pPr>
              <w:spacing w:before="40" w:after="40"/>
              <w:jc w:val="left"/>
            </w:pPr>
            <w:r>
              <w:rPr>
                <w:sz w:val="18"/>
                <w:szCs w:val="18"/>
                <w:color w:val="000000"/>
              </w:rPr>
              <w:t xml:space="preserve">Blend Activation Controller (BAC-01)</w:t>
            </w:r>
          </w:p>
        </w:tc>
        <w:tc>
          <w:tcPr>
            <w:tcW w:w="3100" w:type="pct"/>
            <w:shd w:val="clear" w:color="000000" w:fill="FFFFFF"/>
          </w:tcPr>
          <w:p>
            <w:pPr>
              <w:spacing w:before="40" w:after="40"/>
              <w:jc w:val="left"/>
            </w:pPr>
            <w:r>
              <w:rPr>
                <w:sz w:val="18"/>
                <w:szCs w:val="18"/>
                <w:color w:val="000000"/>
              </w:rPr>
              <w:t xml:space="preserve">Decides which data pipelines to open when a batch is initiated — the data-acquisition model.</w:t>
            </w:r>
          </w:p>
        </w:tc>
      </w:tr>
      <w:tr>
        <w:tc>
          <w:tcPr>
            <w:tcW w:w="400" w:type="pct"/>
            <w:shd w:val="clear" w:color="000000" w:fill="D6E4F0"/>
          </w:tcPr>
          <w:p>
            <w:pPr>
              <w:spacing w:before="40" w:after="40"/>
              <w:jc w:val="left"/>
            </w:pPr>
            <w:r>
              <w:rPr>
                <w:sz w:val="18"/>
                <w:szCs w:val="18"/>
                <w:color w:val="000000"/>
              </w:rPr>
              <w:t xml:space="preserve">2</w:t>
            </w:r>
          </w:p>
        </w:tc>
        <w:tc>
          <w:tcPr>
            <w:tcW w:w="1500" w:type="pct"/>
            <w:shd w:val="clear" w:color="000000" w:fill="D6E4F0"/>
          </w:tcPr>
          <w:p>
            <w:pPr>
              <w:spacing w:before="40" w:after="40"/>
              <w:jc w:val="left"/>
            </w:pPr>
            <w:r>
              <w:rPr>
                <w:sz w:val="18"/>
                <w:szCs w:val="18"/>
                <w:color w:val="000000"/>
              </w:rPr>
              <w:t xml:space="preserve">COA Data Quality Scorer (DQS-02)</w:t>
            </w:r>
          </w:p>
        </w:tc>
        <w:tc>
          <w:tcPr>
            <w:tcW w:w="3100" w:type="pct"/>
            <w:shd w:val="clear" w:color="000000" w:fill="D6E4F0"/>
          </w:tcPr>
          <w:p>
            <w:pPr>
              <w:spacing w:before="40" w:after="40"/>
              <w:jc w:val="left"/>
            </w:pPr>
            <w:r>
              <w:rPr>
                <w:sz w:val="18"/>
                <w:szCs w:val="18"/>
                <w:color w:val="000000"/>
              </w:rPr>
              <w:t xml:space="preserve">Validates incoming Certificate of Analysis data and scores its trustworthiness.</w:t>
            </w:r>
          </w:p>
        </w:tc>
      </w:tr>
      <w:tr>
        <w:tc>
          <w:tcPr>
            <w:tcW w:w="400" w:type="pct"/>
            <w:shd w:val="clear" w:color="000000" w:fill="FFFFFF"/>
          </w:tcPr>
          <w:p>
            <w:pPr>
              <w:spacing w:before="40" w:after="40"/>
              <w:jc w:val="left"/>
            </w:pPr>
            <w:r>
              <w:rPr>
                <w:sz w:val="18"/>
                <w:szCs w:val="18"/>
                <w:color w:val="000000"/>
              </w:rPr>
              <w:t xml:space="preserve">3</w:t>
            </w:r>
          </w:p>
        </w:tc>
        <w:tc>
          <w:tcPr>
            <w:tcW w:w="1500" w:type="pct"/>
            <w:shd w:val="clear" w:color="000000" w:fill="FFFFFF"/>
          </w:tcPr>
          <w:p>
            <w:pPr>
              <w:spacing w:before="40" w:after="40"/>
              <w:jc w:val="left"/>
            </w:pPr>
            <w:r>
              <w:rPr>
                <w:sz w:val="18"/>
                <w:szCs w:val="18"/>
                <w:color w:val="000000"/>
              </w:rPr>
              <w:t xml:space="preserve">Blend Property Predictor (BPP-03)</w:t>
            </w:r>
          </w:p>
        </w:tc>
        <w:tc>
          <w:tcPr>
            <w:tcW w:w="3100" w:type="pct"/>
            <w:shd w:val="clear" w:color="000000" w:fill="FFFFFF"/>
          </w:tcPr>
          <w:p>
            <w:pPr>
              <w:spacing w:before="40" w:after="40"/>
              <w:jc w:val="left"/>
            </w:pPr>
            <w:r>
              <w:rPr>
                <w:sz w:val="18"/>
                <w:szCs w:val="18"/>
                <w:color w:val="000000"/>
              </w:rPr>
              <w:t xml:space="preserve">Translates COA component values into predicted finished-blend properties: KV, Ca, Zn, P.</w:t>
            </w:r>
          </w:p>
        </w:tc>
      </w:tr>
      <w:tr>
        <w:tc>
          <w:tcPr>
            <w:tcW w:w="400" w:type="pct"/>
            <w:shd w:val="clear" w:color="000000" w:fill="D6E4F0"/>
          </w:tcPr>
          <w:p>
            <w:pPr>
              <w:spacing w:before="40" w:after="40"/>
              <w:jc w:val="left"/>
            </w:pPr>
            <w:r>
              <w:rPr>
                <w:sz w:val="18"/>
                <w:szCs w:val="18"/>
                <w:color w:val="000000"/>
              </w:rPr>
              <w:t xml:space="preserve">4</w:t>
            </w:r>
          </w:p>
        </w:tc>
        <w:tc>
          <w:tcPr>
            <w:tcW w:w="1500" w:type="pct"/>
            <w:shd w:val="clear" w:color="000000" w:fill="D6E4F0"/>
          </w:tcPr>
          <w:p>
            <w:pPr>
              <w:spacing w:before="40" w:after="40"/>
              <w:jc w:val="left"/>
            </w:pPr>
            <w:r>
              <w:rPr>
                <w:sz w:val="18"/>
                <w:szCs w:val="18"/>
                <w:color w:val="000000"/>
              </w:rPr>
              <w:t xml:space="preserve">Rebalance Solver Engine (RSE-04)</w:t>
            </w:r>
          </w:p>
        </w:tc>
        <w:tc>
          <w:tcPr>
            <w:tcW w:w="3100" w:type="pct"/>
            <w:shd w:val="clear" w:color="000000" w:fill="D6E4F0"/>
          </w:tcPr>
          <w:p>
            <w:pPr>
              <w:spacing w:before="40" w:after="40"/>
              <w:jc w:val="left"/>
            </w:pPr>
            <w:r>
              <w:rPr>
                <w:sz w:val="18"/>
                <w:szCs w:val="18"/>
                <w:color w:val="000000"/>
              </w:rPr>
              <w:t xml:space="preserve">Finds the optimal swing-component ratio to bring predicted viscosity within specification.</w:t>
            </w:r>
          </w:p>
        </w:tc>
      </w:tr>
      <w:tr>
        <w:tc>
          <w:tcPr>
            <w:tcW w:w="400" w:type="pct"/>
            <w:shd w:val="clear" w:color="000000" w:fill="FFFFFF"/>
          </w:tcPr>
          <w:p>
            <w:pPr>
              <w:spacing w:before="40" w:after="40"/>
              <w:jc w:val="left"/>
            </w:pPr>
            <w:r>
              <w:rPr>
                <w:sz w:val="18"/>
                <w:szCs w:val="18"/>
                <w:color w:val="000000"/>
              </w:rPr>
              <w:t xml:space="preserve">5</w:t>
            </w:r>
          </w:p>
        </w:tc>
        <w:tc>
          <w:tcPr>
            <w:tcW w:w="1500" w:type="pct"/>
            <w:shd w:val="clear" w:color="000000" w:fill="FFFFFF"/>
          </w:tcPr>
          <w:p>
            <w:pPr>
              <w:spacing w:before="40" w:after="40"/>
              <w:jc w:val="left"/>
            </w:pPr>
            <w:r>
              <w:rPr>
                <w:sz w:val="18"/>
                <w:szCs w:val="18"/>
                <w:color w:val="000000"/>
              </w:rPr>
              <w:t xml:space="preserve">Savings Attribution Engine (SAE-05)</w:t>
            </w:r>
          </w:p>
        </w:tc>
        <w:tc>
          <w:tcPr>
            <w:tcW w:w="3100" w:type="pct"/>
            <w:shd w:val="clear" w:color="000000" w:fill="FFFFFF"/>
          </w:tcPr>
          <w:p>
            <w:pPr>
              <w:spacing w:before="40" w:after="40"/>
              <w:jc w:val="left"/>
            </w:pPr>
            <w:r>
              <w:rPr>
                <w:sz w:val="18"/>
                <w:szCs w:val="18"/>
                <w:color w:val="000000"/>
              </w:rPr>
              <w:t xml:space="preserve">The core engine — quantifies all three savings streams per batch: material, elemental, RFT.</w:t>
            </w:r>
          </w:p>
        </w:tc>
      </w:tr>
      <w:tr>
        <w:tc>
          <w:tcPr>
            <w:tcW w:w="400" w:type="pct"/>
            <w:shd w:val="clear" w:color="000000" w:fill="D6E4F0"/>
          </w:tcPr>
          <w:p>
            <w:pPr>
              <w:spacing w:before="40" w:after="40"/>
              <w:jc w:val="left"/>
            </w:pPr>
            <w:r>
              <w:rPr>
                <w:sz w:val="18"/>
                <w:szCs w:val="18"/>
                <w:color w:val="000000"/>
              </w:rPr>
              <w:t xml:space="preserve">6</w:t>
            </w:r>
          </w:p>
        </w:tc>
        <w:tc>
          <w:tcPr>
            <w:tcW w:w="1500" w:type="pct"/>
            <w:shd w:val="clear" w:color="000000" w:fill="D6E4F0"/>
          </w:tcPr>
          <w:p>
            <w:pPr>
              <w:spacing w:before="40" w:after="40"/>
              <w:jc w:val="left"/>
            </w:pPr>
            <w:r>
              <w:rPr>
                <w:sz w:val="18"/>
                <w:szCs w:val="18"/>
                <w:color w:val="000000"/>
              </w:rPr>
              <w:t xml:space="preserve">Blend Quality Score Engine (BQS-06)</w:t>
            </w:r>
          </w:p>
        </w:tc>
        <w:tc>
          <w:tcPr>
            <w:tcW w:w="3100" w:type="pct"/>
            <w:shd w:val="clear" w:color="000000" w:fill="D6E4F0"/>
          </w:tcPr>
          <w:p>
            <w:pPr>
              <w:spacing w:before="40" w:after="40"/>
              <w:jc w:val="left"/>
            </w:pPr>
            <w:r>
              <w:rPr>
                <w:sz w:val="18"/>
                <w:szCs w:val="18"/>
                <w:color w:val="000000"/>
              </w:rPr>
              <w:t xml:space="preserve">Converts blend assessments into a 0–10 quality score and off-spec risk percentage.</w:t>
            </w:r>
          </w:p>
        </w:tc>
      </w:tr>
      <w:tr>
        <w:tc>
          <w:tcPr>
            <w:tcW w:w="400" w:type="pct"/>
            <w:shd w:val="clear" w:color="000000" w:fill="FFFFFF"/>
          </w:tcPr>
          <w:p>
            <w:pPr>
              <w:spacing w:before="40" w:after="40"/>
              <w:jc w:val="left"/>
            </w:pPr>
            <w:r>
              <w:rPr>
                <w:sz w:val="18"/>
                <w:szCs w:val="18"/>
                <w:color w:val="000000"/>
              </w:rPr>
              <w:t xml:space="preserve">7</w:t>
            </w:r>
          </w:p>
        </w:tc>
        <w:tc>
          <w:tcPr>
            <w:tcW w:w="1500" w:type="pct"/>
            <w:shd w:val="clear" w:color="000000" w:fill="FFFFFF"/>
          </w:tcPr>
          <w:p>
            <w:pPr>
              <w:spacing w:before="40" w:after="40"/>
              <w:jc w:val="left"/>
            </w:pPr>
            <w:r>
              <w:rPr>
                <w:sz w:val="18"/>
                <w:szCs w:val="18"/>
                <w:color w:val="000000"/>
              </w:rPr>
              <w:t xml:space="preserve">Supply &amp;amp; Procurement Optimizer (SPO-07)</w:t>
            </w:r>
          </w:p>
        </w:tc>
        <w:tc>
          <w:tcPr>
            <w:tcW w:w="3100" w:type="pct"/>
            <w:shd w:val="clear" w:color="000000" w:fill="FFFFFF"/>
          </w:tcPr>
          <w:p>
            <w:pPr>
              <w:spacing w:before="40" w:after="40"/>
              <w:jc w:val="left"/>
            </w:pPr>
            <w:r>
              <w:rPr>
                <w:sz w:val="18"/>
                <w:szCs w:val="18"/>
                <w:color w:val="000000"/>
              </w:rPr>
              <w:t xml:space="preserve">Ranks suppliers and allocates volumes to minimise cost while protecting quality.</w:t>
            </w:r>
          </w:p>
        </w:tc>
      </w:tr>
      <w:tr>
        <w:tc>
          <w:tcPr>
            <w:tcW w:w="400" w:type="pct"/>
            <w:shd w:val="clear" w:color="000000" w:fill="D6E4F0"/>
          </w:tcPr>
          <w:p>
            <w:pPr>
              <w:spacing w:before="40" w:after="40"/>
              <w:jc w:val="left"/>
            </w:pPr>
            <w:r>
              <w:rPr>
                <w:sz w:val="18"/>
                <w:szCs w:val="18"/>
                <w:color w:val="000000"/>
              </w:rPr>
              <w:t xml:space="preserve">8</w:t>
            </w:r>
          </w:p>
        </w:tc>
        <w:tc>
          <w:tcPr>
            <w:tcW w:w="1500" w:type="pct"/>
            <w:shd w:val="clear" w:color="000000" w:fill="D6E4F0"/>
          </w:tcPr>
          <w:p>
            <w:pPr>
              <w:spacing w:before="40" w:after="40"/>
              <w:jc w:val="left"/>
            </w:pPr>
            <w:r>
              <w:rPr>
                <w:sz w:val="18"/>
                <w:szCs w:val="18"/>
                <w:color w:val="000000"/>
              </w:rPr>
              <w:t xml:space="preserve">Recommendation &amp;amp; Alert Engine (RAE-08)</w:t>
            </w:r>
          </w:p>
        </w:tc>
        <w:tc>
          <w:tcPr>
            <w:tcW w:w="3100" w:type="pct"/>
            <w:shd w:val="clear" w:color="000000" w:fill="D6E4F0"/>
          </w:tcPr>
          <w:p>
            <w:pPr>
              <w:spacing w:before="40" w:after="40"/>
              <w:jc w:val="left"/>
            </w:pPr>
            <w:r>
              <w:rPr>
                <w:sz w:val="18"/>
                <w:szCs w:val="18"/>
                <w:color w:val="000000"/>
              </w:rPr>
              <w:t xml:space="preserve">Writes and delivers personalised blend recommendations and quality deviation alerts.</w:t>
            </w:r>
          </w:p>
        </w:tc>
      </w:tr>
      <w:tr>
        <w:tc>
          <w:tcPr>
            <w:tcW w:w="400" w:type="pct"/>
            <w:shd w:val="clear" w:color="000000" w:fill="FFFFFF"/>
          </w:tcPr>
          <w:p>
            <w:pPr>
              <w:spacing w:before="40" w:after="40"/>
              <w:jc w:val="left"/>
            </w:pPr>
            <w:r>
              <w:rPr>
                <w:sz w:val="18"/>
                <w:szCs w:val="18"/>
                <w:color w:val="000000"/>
              </w:rPr>
              <w:t xml:space="preserve">9</w:t>
            </w:r>
          </w:p>
        </w:tc>
        <w:tc>
          <w:tcPr>
            <w:tcW w:w="1500" w:type="pct"/>
            <w:shd w:val="clear" w:color="000000" w:fill="FFFFFF"/>
          </w:tcPr>
          <w:p>
            <w:pPr>
              <w:spacing w:before="40" w:after="40"/>
              <w:jc w:val="left"/>
            </w:pPr>
            <w:r>
              <w:rPr>
                <w:sz w:val="18"/>
                <w:szCs w:val="18"/>
                <w:color w:val="000000"/>
              </w:rPr>
              <w:t xml:space="preserve">Post-Batch Refinement Engine (PBR-09)</w:t>
            </w:r>
          </w:p>
        </w:tc>
        <w:tc>
          <w:tcPr>
            <w:tcW w:w="3100" w:type="pct"/>
            <w:shd w:val="clear" w:color="000000" w:fill="FFFFFF"/>
          </w:tcPr>
          <w:p>
            <w:pPr>
              <w:spacing w:before="40" w:after="40"/>
              <w:jc w:val="left"/>
            </w:pPr>
            <w:r>
              <w:rPr>
                <w:sz w:val="18"/>
                <w:szCs w:val="18"/>
                <w:color w:val="000000"/>
              </w:rPr>
              <w:t xml:space="preserve">After each batch closes, retrains every model above using laboratory and outcome evidence.</w:t>
            </w:r>
          </w:p>
        </w:tc>
      </w:tr>
    </w:tbl>
    <w:p>
      <w:pPr>
        <w:jc w:val="left"/>
        <w:spacing w:before="0" w:after="100"/>
      </w:pPr>
      <w:r>
        <w:rPr>
          <w:sz w:val="10"/>
          <w:szCs w:val="10"/>
        </w:rPr>
        <w:t xml:space="preserve"> </w:t>
      </w:r>
    </w:p>
    <w:p>
      <w:pPr>
        <w:jc w:val="left"/>
        <w:spacing w:before="0" w:after="120"/>
      </w:pPr>
      <w:r>
        <w:rPr>
          <w:i/>
          <w:sz w:val="18"/>
          <w:szCs w:val="18"/>
          <w:color w:val="595959"/>
        </w:rPr>
        <w:t xml:space="preserve">Sections 2 through 10 take each model in turn. Section 11 summarises the single training principle that ties them together.</w:t>
      </w:r>
    </w:p>
    <w:p>
      <w:r>
        <w:br w:type="page"/>
      </w:r>
    </w:p>
    <w:p>
      <w:pPr>
        <w:pStyle w:val="Heading1"/>
        <w:spacing w:before="200" w:after="80"/>
      </w:pPr>
      <w:r>
        <w:rPr>
          <w:b/>
          <w:sz w:val="28"/>
          <w:szCs w:val="28"/>
          <w:color w:val="1F3864"/>
        </w:rPr>
        <w:t xml:space="preserve">2.  Blend Activation Controller (BAC-01) — the Data-Acquisition Model</w:t>
      </w:r>
    </w:p>
    <w:p>
      <w:pPr>
        <w:jc w:val="left"/>
        <w:spacing w:before="0" w:after="100"/>
      </w:pPr>
      <w:r>
        <w:rPr>
          <w:b/>
          <w:sz w:val="19"/>
          <w:szCs w:val="19"/>
          <w:color w:val="2E75B6"/>
        </w:rPr>
        <w:t xml:space="preserve">Role in a blend event:  </w:t>
      </w:r>
      <w:r>
        <w:rPr>
          <w:sz w:val="19"/>
          <w:szCs w:val="19"/>
        </w:rPr>
        <w:t xml:space="preserve">Acts first. When a batch is initiated, it decides which data sources to open.</w:t>
      </w:r>
    </w:p>
    <w:p>
      <w:pPr>
        <w:pStyle w:val="Heading3"/>
        <w:spacing w:before="200" w:after="80"/>
      </w:pPr>
      <w:r>
        <w:rPr>
          <w:b/>
          <w:sz w:val="22"/>
          <w:szCs w:val="22"/>
          <w:color w:val="2E75B6"/>
        </w:rPr>
        <w:t xml:space="preserve">What it does</w:t>
      </w:r>
    </w:p>
    <w:p>
      <w:pPr>
        <w:jc w:val="left"/>
        <w:spacing w:before="0" w:after="100"/>
      </w:pPr>
      <w:r>
        <w:rPr>
          <w:sz w:val="19"/>
          <w:szCs w:val="19"/>
        </w:rPr>
        <w:t xml:space="preserve">BAC-01 is the data-acquisition orchestrator of OmniBlend. When a production batch is created — identified by lubricant grade, batch ID, and scheduled date — BAC-01 opens a dedicated data pathway specific to that grade. For a 15W-40 engine oil batch it activates: the COA feed for the swing-pair base oils (SN 150, SN 500), the additive package COA channel (DI package elemental analysis), the blender sensor stream (temperature, mixing RPM, kettle load), laboratory instrument links, and — where enabled — the ERP material reservation event. It does not activate pathways that are irrelevant to the grade: a turbine oil batch does not open the motor-oil additive elemental channel. Once the batch is completed and the laboratory has confirmed the outcome, BAC-01 dissolves the pathway, releasing resources.</w:t>
      </w:r>
    </w:p>
    <w:p>
      <w:pPr>
        <w:pStyle w:val="Heading3"/>
        <w:spacing w:before="200" w:after="80"/>
      </w:pPr>
      <w:r>
        <w:rPr>
          <w:b/>
          <w:sz w:val="22"/>
          <w:szCs w:val="22"/>
          <w:color w:val="2E75B6"/>
        </w:rPr>
        <w:t xml:space="preserve">How it is trained</w:t>
      </w:r>
    </w:p>
    <w:p>
      <w:pPr>
        <w:jc w:val="left"/>
        <w:spacing w:before="0" w:after="100"/>
      </w:pPr>
      <w:r>
        <w:rPr>
          <w:sz w:val="19"/>
          <w:szCs w:val="19"/>
        </w:rPr>
        <w:t xml:space="preserve">BAC-01 is a hybrid model. The base rule — which data source types are relevant to which lubricant grade — is expert-defined at configuration. But the pathway duration (how long to hold a channel open, how many laboratory passes to wait for before closing) is governed by a learned threshold. That threshold is calibrated by the Post-Batch Refinement Engine (PBR-09) after each production event: if a pathway was closed before the final lab confirmation arrived, the model adjusts to wait longer; if a source contributed no useful signal for a given grade, its activation weight for that grade is reduced.</w:t>
      </w:r>
    </w:p>
    <w:p>
      <w:pPr>
        <w:pStyle w:val="Heading3"/>
        <w:spacing w:before="200" w:after="80"/>
      </w:pPr>
      <w:r>
        <w:rPr>
          <w:b/>
          <w:sz w:val="22"/>
          <w:szCs w:val="22"/>
          <w:color w:val="2E75B6"/>
        </w:rPr>
        <w:t xml:space="preserve">How it learns over time</w:t>
      </w:r>
    </w:p>
    <w:p>
      <w:pPr>
        <w:jc w:val="left"/>
        <w:spacing w:before="0" w:after="120"/>
      </w:pPr>
      <w:r>
        <w:rPr>
          <w:sz w:val="19"/>
          <w:szCs w:val="19"/>
        </w:rPr>
        <w:t xml:space="preserve">BAC-01 learns which data sources are most predictive for each lubricant grade and for each supplier combination. Over many batches, the refinement loop measures each source's contribution to final prediction accuracy. If viscosity readings from a particular sensor correlate more strongly with laboratory outcomes than another, that source is weighted up. Where two suppliers provide the same base oil grade, the model learns whether to average their COA values or to prefer the historically more accurate one. This is the same principle as the CAT Synapse weather-source weighting, applied to industrial blend data rather than meteorological feeds.</w:t>
      </w:r>
    </w:p>
    <w:p>
      <w:pPr>
        <w:pStyle w:val="Heading1"/>
        <w:spacing w:before="200" w:after="80"/>
      </w:pPr>
      <w:r>
        <w:rPr>
          <w:b/>
          <w:sz w:val="28"/>
          <w:szCs w:val="28"/>
          <w:color w:val="1F3864"/>
        </w:rPr>
        <w:t xml:space="preserve">3.  COA Data Quality Scorer (DQS-02)</w:t>
      </w:r>
    </w:p>
    <w:p>
      <w:pPr>
        <w:jc w:val="left"/>
        <w:spacing w:before="0" w:after="100"/>
      </w:pPr>
      <w:r>
        <w:rPr>
          <w:b/>
          <w:sz w:val="19"/>
          <w:szCs w:val="19"/>
          <w:color w:val="2E75B6"/>
        </w:rPr>
        <w:t xml:space="preserve">Role in a blend event:  </w:t>
      </w:r>
      <w:r>
        <w:rPr>
          <w:sz w:val="19"/>
          <w:szCs w:val="19"/>
        </w:rPr>
        <w:t xml:space="preserve">Acts on every COA and sensor data packet as it arrives, before any interpretation.</w:t>
      </w:r>
    </w:p>
    <w:p>
      <w:pPr>
        <w:pStyle w:val="Heading3"/>
        <w:spacing w:before="200" w:after="80"/>
      </w:pPr>
      <w:r>
        <w:rPr>
          <w:b/>
          <w:sz w:val="22"/>
          <w:szCs w:val="22"/>
          <w:color w:val="2E75B6"/>
        </w:rPr>
        <w:t xml:space="preserve">What it does</w:t>
      </w:r>
    </w:p>
    <w:p>
      <w:pPr>
        <w:jc w:val="left"/>
        <w:spacing w:before="0" w:after="100"/>
      </w:pPr>
      <w:r>
        <w:rPr>
          <w:sz w:val="19"/>
          <w:szCs w:val="19"/>
        </w:rPr>
        <w:t xml:space="preserve">DQS-02 checks each incoming data packet for problems — missing fields, out-of-range values, duplicate lot certificates, stale records submitted for a new batch, and format inconsistencies between supplier COA templates. It attaches a confidence score from 0 to 1 to every data packet. It also performs statistical anomaly detection: a viscosity reading of 4.5 cSt for a heavy SN 500 base oil, or a phosphorus value of 0.15% where the additive specification ceiling is 0.087%, is flagged as anomalous even if it is technically a valid number. Where a value is missing, DQS-02 substitutes the historical lot average for that supplier and grade, and reduces the confidence score accordingly. The confidence score travels with the data through the entire pipeline and acts as a ceiling on the final savings and quality score.</w:t>
      </w:r>
    </w:p>
    <w:p>
      <w:pPr>
        <w:pStyle w:val="Heading3"/>
        <w:spacing w:before="200" w:after="80"/>
      </w:pPr>
      <w:r>
        <w:rPr>
          <w:b/>
          <w:sz w:val="22"/>
          <w:szCs w:val="22"/>
          <w:color w:val="2E75B6"/>
        </w:rPr>
        <w:t xml:space="preserve">How it is trained</w:t>
      </w:r>
    </w:p>
    <w:p>
      <w:pPr>
        <w:jc w:val="left"/>
        <w:spacing w:before="0" w:after="100"/>
      </w:pPr>
      <w:r>
        <w:rPr>
          <w:sz w:val="19"/>
          <w:szCs w:val="19"/>
        </w:rPr>
        <w:t xml:space="preserve">DQS-02 uses a lightweight autoencoder trained exclusively on verified historical COA records for each lubricant grade. Anything that does not match the learned pattern of clean data is flagged as anomalous. In parallel, it maintains running baseline statistics — mean and standard deviation — for each measured property, per supplier, per season. These baselines are refreshed by PBR-09 after each production event.</w:t>
      </w:r>
    </w:p>
    <w:p>
      <w:pPr>
        <w:pStyle w:val="Heading3"/>
        <w:spacing w:before="200" w:after="80"/>
      </w:pPr>
      <w:r>
        <w:rPr>
          <w:b/>
          <w:sz w:val="22"/>
          <w:szCs w:val="22"/>
          <w:color w:val="2E75B6"/>
        </w:rPr>
        <w:t xml:space="preserve">How it learns over time</w:t>
      </w:r>
    </w:p>
    <w:p>
      <w:pPr>
        <w:jc w:val="left"/>
        <w:spacing w:before="0" w:after="120"/>
      </w:pPr>
      <w:r>
        <w:rPr>
          <w:sz w:val="19"/>
          <w:szCs w:val="19"/>
        </w:rPr>
        <w:t xml:space="preserve">Its sense of 'normal' for each supplier and grade improves with every batch. As more production runs accumulate, seasonal and lot-to-lot variation patterns become more precise, so DQS-02 becomes better at distinguishing a genuine raw-material batch that is genuinely off-target from a transcription error in the COA.</w:t>
      </w:r>
    </w:p>
    <w:p>
      <w:r>
        <w:br w:type="page"/>
      </w:r>
    </w:p>
    <w:p>
      <w:pPr>
        <w:pStyle w:val="Heading1"/>
        <w:spacing w:before="200" w:after="80"/>
      </w:pPr>
      <w:r>
        <w:rPr>
          <w:b/>
          <w:sz w:val="28"/>
          <w:szCs w:val="28"/>
          <w:color w:val="1F3864"/>
        </w:rPr>
        <w:t xml:space="preserve">4.  Blend Property Predictor (BPP-03)</w:t>
      </w:r>
    </w:p>
    <w:p>
      <w:pPr>
        <w:jc w:val="left"/>
        <w:spacing w:before="0" w:after="100"/>
      </w:pPr>
      <w:r>
        <w:rPr>
          <w:b/>
          <w:sz w:val="19"/>
          <w:szCs w:val="19"/>
          <w:color w:val="2E75B6"/>
        </w:rPr>
        <w:t xml:space="preserve">Role in a blend event:  </w:t>
      </w:r>
      <w:r>
        <w:rPr>
          <w:sz w:val="19"/>
          <w:szCs w:val="19"/>
        </w:rPr>
        <w:t xml:space="preserve">Acts during data ingestion, preparing predicted blend properties for the core engine.</w:t>
      </w:r>
    </w:p>
    <w:p>
      <w:pPr>
        <w:pStyle w:val="Heading3"/>
        <w:spacing w:before="200" w:after="80"/>
      </w:pPr>
      <w:r>
        <w:rPr>
          <w:b/>
          <w:sz w:val="22"/>
          <w:szCs w:val="22"/>
          <w:color w:val="2E75B6"/>
        </w:rPr>
        <w:t xml:space="preserve">What it does</w:t>
      </w:r>
    </w:p>
    <w:p>
      <w:pPr>
        <w:jc w:val="left"/>
        <w:spacing w:before="0" w:after="100"/>
      </w:pPr>
      <w:r>
        <w:rPr>
          <w:sz w:val="19"/>
          <w:szCs w:val="19"/>
        </w:rPr>
        <w:t xml:space="preserve">BPP-03 takes the validated COA values from DQS-02 and computes the predicted properties of the finished blend before any material is charged to the kettle. Its primary output is the predicted kinematic viscosity (KV @ 100°C), which determines whether the batch will meet specification without any adjustment. It also predicts the finished-blend elemental concentrations (Ca, Zn, P) that determine additive compliance.</w:t>
      </w:r>
    </w:p>
    <w:p>
      <w:pPr>
        <w:jc w:val="left"/>
        <w:spacing w:before="0" w:after="100"/>
      </w:pPr>
      <w:r>
        <w:rPr>
          <w:b/>
          <w:sz w:val="19"/>
          <w:szCs w:val="19"/>
          <w:color w:val="1F3864"/>
        </w:rPr>
        <w:t xml:space="preserve">Viscosity prediction formula (proportional-perturbation model):</w:t>
      </w:r>
    </w:p>
    <w:p>
      <w:pPr>
        <w:ind w:left="200" w:right="200"/>
        <w:spacing w:before="60" w:after="60"/>
        <w:shd w:val="clear" w:color="auto" w:fill="D6E4F0"/>
      </w:pPr>
      <w:r>
        <w:rPr>
          <w:b/>
          <w:sz w:val="18"/>
          <w:szCs w:val="18"/>
          <w:color w:val="1F3864"/>
        </w:rPr>
        <w:t xml:space="preserve">predKV =  </w:t>
      </w:r>
      <w:r>
        <w:rPr>
          <w:sz w:val="18"/>
          <w:szCs w:val="18"/>
          <w:color w:val="595959"/>
        </w:rPr>
        <w:t xml:space="preserve">targetKV × (1 + Σ [ pctVariance_i × massFrac_i × sensitivity_i ])
where: pctVariance_i = (actual_KV_i − std_KV_i) / std_KV_i
       sensitivity: 1.0 for swing/base oils · 0.6 for additive package · 1.5 for viscosity modifier
Rationale: anchors prediction to the grade's target KV; each component's deviation from its certificate standard is propagated proportionally, weighted by its mass fraction and blend-viscosity sensitivity. This model is analytically tractable, auditable, and calibrated per grade.</w:t>
      </w:r>
    </w:p>
    <w:p>
      <w:pPr>
        <w:jc w:val="left"/>
        <w:spacing w:before="0" w:after="100"/>
      </w:pPr>
      <w:r>
        <w:rPr>
          <w:b/>
          <w:sz w:val="19"/>
          <w:szCs w:val="19"/>
          <w:color w:val="1F3864"/>
        </w:rPr>
        <w:t xml:space="preserve">Elemental prediction (linear scaling):</w:t>
      </w:r>
    </w:p>
    <w:p>
      <w:pPr>
        <w:ind w:left="200" w:right="200"/>
        <w:spacing w:before="60" w:after="60"/>
        <w:shd w:val="clear" w:color="auto" w:fill="D6E4F0"/>
      </w:pPr>
      <w:r>
        <w:rPr>
          <w:b/>
          <w:sz w:val="18"/>
          <w:szCs w:val="18"/>
          <w:color w:val="1F3864"/>
        </w:rPr>
        <w:t xml:space="preserve">blendCa = additiveCa × (additiveMass% / 100)  </w:t>
      </w:r>
      <w:r>
        <w:rPr>
          <w:sz w:val="18"/>
          <w:szCs w:val="18"/>
          <w:color w:val="595959"/>
        </w:rPr>
        <w:t xml:space="preserve">same for Zn and P — linear because additive holds its recipe mass fraction under rebalancing.</w:t>
      </w:r>
    </w:p>
    <w:p>
      <w:pPr>
        <w:pStyle w:val="Heading3"/>
        <w:spacing w:before="200" w:after="80"/>
      </w:pPr>
      <w:r>
        <w:rPr>
          <w:b/>
          <w:sz w:val="22"/>
          <w:szCs w:val="22"/>
          <w:color w:val="2E75B6"/>
        </w:rPr>
        <w:t xml:space="preserve">How it is trained</w:t>
      </w:r>
    </w:p>
    <w:p>
      <w:pPr>
        <w:jc w:val="left"/>
        <w:spacing w:before="0" w:after="100"/>
      </w:pPr>
      <w:r>
        <w:rPr>
          <w:sz w:val="19"/>
          <w:szCs w:val="19"/>
        </w:rPr>
        <w:t xml:space="preserve">The sensitivity coefficients (1.0 / 0.6 / 1.5) and the perturbation scaling are initialised from first-principles blend chemistry. They are then continuously recalibrated: after each batch, PBR-09 compares the predicted KV to the laboratory-measured KV and applies a gradient step to each sensitivity coefficient. Over production history, the model develops grade-specific and supplier-specific sensitivity values that are more accurate than any generic initial estimate.</w:t>
      </w:r>
    </w:p>
    <w:p>
      <w:pPr>
        <w:pStyle w:val="Heading3"/>
        <w:spacing w:before="200" w:after="80"/>
      </w:pPr>
      <w:r>
        <w:rPr>
          <w:b/>
          <w:sz w:val="22"/>
          <w:szCs w:val="22"/>
          <w:color w:val="2E75B6"/>
        </w:rPr>
        <w:t xml:space="preserve">How it learns over time</w:t>
      </w:r>
    </w:p>
    <w:p>
      <w:pPr>
        <w:jc w:val="left"/>
        <w:spacing w:before="0" w:after="120"/>
      </w:pPr>
      <w:r>
        <w:rPr>
          <w:sz w:val="19"/>
          <w:szCs w:val="19"/>
        </w:rPr>
        <w:t xml:space="preserve">It learns the true blend response of each grade to each supplier's specific lot variation. A supplier whose SN 500 batches consistently run high in viscosity will develop a higher grade-specific sensitivity coefficient for that component, so future predictions for batches using that supplier's material are automatically more accurate.</w:t>
      </w:r>
    </w:p>
    <w:p>
      <w:pPr>
        <w:pStyle w:val="Heading1"/>
        <w:spacing w:before="200" w:after="80"/>
      </w:pPr>
      <w:r>
        <w:rPr>
          <w:b/>
          <w:sz w:val="28"/>
          <w:szCs w:val="28"/>
          <w:color w:val="1F3864"/>
        </w:rPr>
        <w:t xml:space="preserve">5.  Rebalance Solver Engine (RSE-04)</w:t>
      </w:r>
    </w:p>
    <w:p>
      <w:pPr>
        <w:jc w:val="left"/>
        <w:spacing w:before="0" w:after="100"/>
      </w:pPr>
      <w:r>
        <w:rPr>
          <w:b/>
          <w:sz w:val="19"/>
          <w:szCs w:val="19"/>
          <w:color w:val="2E75B6"/>
        </w:rPr>
        <w:t xml:space="preserve">Role in a blend event:  </w:t>
      </w:r>
      <w:r>
        <w:rPr>
          <w:sz w:val="19"/>
          <w:szCs w:val="19"/>
        </w:rPr>
        <w:t xml:space="preserve">Acts when BPP-03's predicted KV falls outside specification — the blend-correction model.</w:t>
      </w:r>
    </w:p>
    <w:p>
      <w:pPr>
        <w:pStyle w:val="Heading3"/>
        <w:spacing w:before="200" w:after="80"/>
      </w:pPr>
      <w:r>
        <w:rPr>
          <w:b/>
          <w:sz w:val="22"/>
          <w:szCs w:val="22"/>
          <w:color w:val="2E75B6"/>
        </w:rPr>
        <w:t xml:space="preserve">What it does</w:t>
      </w:r>
    </w:p>
    <w:p>
      <w:pPr>
        <w:jc w:val="left"/>
        <w:spacing w:before="0" w:after="100"/>
      </w:pPr>
      <w:r>
        <w:rPr>
          <w:sz w:val="19"/>
          <w:szCs w:val="19"/>
        </w:rPr>
        <w:t xml:space="preserve">If the predicted KV from BPP-03 deviates from the target beyond the specification window (typically ±0.3 cSt), RSE-04 takes over and finds the minimum correction to the recipe that will bring the blend back within specification — without touching the additive package (which must hold its compliance floor). It does this by shifting the heavy/light swing-oil pair: increasing the proportion of heavy base oil raises viscosity; decreasing it lowers viscosity.</w:t>
      </w:r>
    </w:p>
    <w:p>
      <w:pPr>
        <w:jc w:val="left"/>
        <w:spacing w:before="0" w:after="100"/>
      </w:pPr>
      <w:r>
        <w:rPr>
          <w:b/>
          <w:sz w:val="19"/>
          <w:szCs w:val="19"/>
          <w:color w:val="1F3864"/>
        </w:rPr>
        <w:t xml:space="preserve">Rebalance solver algorithm (linear scan):</w:t>
      </w:r>
    </w:p>
    <w:p>
      <w:pPr>
        <w:ind w:left="200" w:right="200"/>
        <w:spacing w:before="60" w:after="60"/>
        <w:shd w:val="clear" w:color="auto" w:fill="D6E4F0"/>
      </w:pPr>
      <w:r>
        <w:rPr>
          <w:b/>
          <w:sz w:val="18"/>
          <w:szCs w:val="18"/>
          <w:color w:val="1F3864"/>
        </w:rPr>
        <w:t xml:space="preserve">for shift = −5.0 pp to +5.0 pp (step 0.05 pp):  </w:t>
      </w:r>
      <w:r>
        <w:rPr>
          <w:sz w:val="18"/>
          <w:szCs w:val="18"/>
          <w:color w:val="595959"/>
        </w:rPr>
        <w:t xml:space="preserve">  modify swing_heavy.mass% += shift; swing_light.mass% −= shift
  recompute predKV via BPP-03 formula
  record shift that minimises |predKV − targetKV|
  declare success if residual error &lt; targetKV × 2%
  hard constraint: additive package mass% unchanged (compliance floor held)
  hard constraint: total recipe = 100% (mass balance)
Search range ±5 percentage-points; step 0.05 pp → 201 candidates evaluated per call.</w:t>
      </w:r>
    </w:p>
    <w:p>
      <w:pPr>
        <w:pStyle w:val="Heading3"/>
        <w:spacing w:before="200" w:after="80"/>
      </w:pPr>
      <w:r>
        <w:rPr>
          <w:b/>
          <w:sz w:val="22"/>
          <w:szCs w:val="22"/>
          <w:color w:val="2E75B6"/>
        </w:rPr>
        <w:t xml:space="preserve">How it is trained</w:t>
      </w:r>
    </w:p>
    <w:p>
      <w:pPr>
        <w:jc w:val="left"/>
        <w:spacing w:before="0" w:after="100"/>
      </w:pPr>
      <w:r>
        <w:rPr>
          <w:sz w:val="19"/>
          <w:szCs w:val="19"/>
        </w:rPr>
        <w:t xml:space="preserve">RSE-04's solver is deterministic within a single call, but its search range and achievability threshold are learned parameters. The initial range (±5 pp) and step size (0.05 pp) are set from process knowledge. The achievability threshold (2% of targetKV) is calibrated by PBR-09 after each event by comparing the correction RSE-04 recommended against what the blender physically produced and the laboratory confirmed.</w:t>
      </w:r>
    </w:p>
    <w:p>
      <w:pPr>
        <w:pStyle w:val="Heading3"/>
        <w:spacing w:before="200" w:after="80"/>
      </w:pPr>
      <w:r>
        <w:rPr>
          <w:b/>
          <w:sz w:val="22"/>
          <w:szCs w:val="22"/>
          <w:color w:val="2E75B6"/>
        </w:rPr>
        <w:t xml:space="preserve">How it learns over time</w:t>
      </w:r>
    </w:p>
    <w:p>
      <w:pPr>
        <w:jc w:val="left"/>
        <w:spacing w:before="0" w:after="120"/>
      </w:pPr>
      <w:r>
        <w:rPr>
          <w:sz w:val="19"/>
          <w:szCs w:val="19"/>
        </w:rPr>
        <w:t xml:space="preserve">It learns the practical rebalance capability of each blender and kettle. If, over many events, a rebalance shift larger than ±3 pp consistently fails to deliver the predicted correction — perhaps because of imprecise dosing equipment — the model narrows its achievable range for that blend unit and flags larger corrections as 'hardware-limited' rather than 'achievable'. This prevents the system from confidently recommending a correction that the plant cannot execute.</w:t>
      </w:r>
    </w:p>
    <w:p>
      <w:r>
        <w:br w:type="page"/>
      </w:r>
    </w:p>
    <w:p>
      <w:pPr>
        <w:pStyle w:val="Heading1"/>
        <w:spacing w:before="200" w:after="80"/>
      </w:pPr>
      <w:r>
        <w:rPr>
          <w:b/>
          <w:sz w:val="28"/>
          <w:szCs w:val="28"/>
          <w:color w:val="1F3864"/>
        </w:rPr>
        <w:t xml:space="preserve">6.  Savings Attribution Engine (SAE-05) — the Core Engine</w:t>
      </w:r>
    </w:p>
    <w:p>
      <w:pPr>
        <w:jc w:val="left"/>
        <w:spacing w:before="0" w:after="100"/>
      </w:pPr>
      <w:r>
        <w:rPr>
          <w:b/>
          <w:sz w:val="19"/>
          <w:szCs w:val="19"/>
          <w:color w:val="2E75B6"/>
        </w:rPr>
        <w:t xml:space="preserve">Role in a blend event:  </w:t>
      </w:r>
      <w:r>
        <w:rPr>
          <w:sz w:val="19"/>
          <w:szCs w:val="19"/>
        </w:rPr>
        <w:t xml:space="preserve">The central model. It quantifies the financial value of every OmniBlend intervention.</w:t>
      </w:r>
    </w:p>
    <w:p>
      <w:pPr>
        <w:pStyle w:val="Heading3"/>
        <w:spacing w:before="200" w:after="80"/>
      </w:pPr>
      <w:r>
        <w:rPr>
          <w:b/>
          <w:sz w:val="22"/>
          <w:szCs w:val="22"/>
          <w:color w:val="2E75B6"/>
        </w:rPr>
        <w:t xml:space="preserve">What it does</w:t>
      </w:r>
    </w:p>
    <w:p>
      <w:pPr>
        <w:jc w:val="left"/>
        <w:spacing w:before="0" w:after="100"/>
      </w:pPr>
      <w:r>
        <w:rPr>
          <w:sz w:val="19"/>
          <w:szCs w:val="19"/>
        </w:rPr>
        <w:t xml:space="preserve">SAE-05 is the financial intelligence core of OmniBlend. It takes the rebalance result from RSE-04 and the elemental potency readings from BPP-03 and computes the total savings for the batch, broken down across three independent streams. Its output is the per-batch savings ledger entry — auditable, step-by-step, and traceable to the exact COA values that drove it.</w:t>
      </w:r>
    </w:p>
    <w:p>
      <w:pPr>
        <w:jc w:val="left"/>
        <w:spacing w:before="0" w:after="100"/>
      </w:pPr>
      <w:r>
        <w:rPr>
          <w:b/>
          <w:sz w:val="19"/>
          <w:szCs w:val="19"/>
          <w:color w:val="1F3864"/>
        </w:rPr>
        <w:t xml:space="preserve">Three savings streams:</w:t>
      </w:r>
    </w:p>
    <w:p>
      <w:pPr>
        <w:ind w:left="200" w:right="200"/>
        <w:spacing w:before="60" w:after="60"/>
        <w:shd w:val="clear" w:color="auto" w:fill="D6E4F0"/>
      </w:pPr>
      <w:r>
        <w:rPr>
          <w:b/>
          <w:sz w:val="18"/>
          <w:szCs w:val="18"/>
          <w:color w:val="1F3864"/>
        </w:rPr>
        <w:t xml:space="preserve">Stream 1 — Material Avoidance:  </w:t>
      </w:r>
      <w:r>
        <w:rPr>
          <w:sz w:val="18"/>
          <w:szCs w:val="18"/>
          <w:color w:val="595959"/>
        </w:rPr>
        <w:t xml:space="preserve">materialAvoided = (topupPct / 100) × (additiveCost − baseOilCost) × batchMT
Rationale: OmniBlend rebalancing eliminates the need for a corrective top-up addition of expensive additive package. The top-up percentage is the dose that would otherwise have been required to bring a slightly off-specification blend back into compliance. The cost differential ($additive − $baseOil) is the premium the plant was paying per tonne for that correction. When OmniBlend avoids the correction entirely by predicting and adjusting the recipe before charging, that premium is saved.</w:t>
      </w:r>
    </w:p>
    <w:p>
      <w:pPr>
        <w:ind w:left="200" w:right="200"/>
        <w:spacing w:before="60" w:after="60"/>
        <w:shd w:val="clear" w:color="auto" w:fill="D6E4F0"/>
      </w:pPr>
      <w:r>
        <w:rPr>
          <w:b/>
          <w:sz w:val="18"/>
          <w:szCs w:val="18"/>
          <w:color w:val="1F3864"/>
        </w:rPr>
        <w:t xml:space="preserve">Stream 2 — Elemental Potency:  </w:t>
      </w:r>
      <w:r>
        <w:rPr>
          <w:sz w:val="18"/>
          <w:szCs w:val="18"/>
          <w:color w:val="595959"/>
        </w:rPr>
        <w:t xml:space="preserve">avgOverage = mean([(Ca_actual−Ca_std)/Ca_std, (Zn_actual−Zn_std)/Zn_std, (P_actual−P_std)/P_std])
reducibleFrac = min(avgOverage, topupPct / 100)   ← capped at compliance floor
elementalSaving = reducibleFrac × additiveMassFrac × batchMT × (additiveCost − baseOilCost)
Rationale: When an additive lot is over-potent (more Ca, Zn, or P than the standard), the plant can reduce the additive dose to the minimum compliant level and replace the reduction with cheaper base oil. OmniBlend captures this value systematically, batch by batch, which would otherwise be invisible because the COA is rarely compared against the specification in production.</w:t>
      </w:r>
    </w:p>
    <w:p>
      <w:pPr>
        <w:ind w:left="200" w:right="200"/>
        <w:spacing w:before="60" w:after="60"/>
        <w:shd w:val="clear" w:color="auto" w:fill="D6E4F0"/>
      </w:pPr>
      <w:r>
        <w:rPr>
          <w:b/>
          <w:sz w:val="18"/>
          <w:szCs w:val="18"/>
          <w:color w:val="1F3864"/>
        </w:rPr>
        <w:t xml:space="preserve">Stream 3 — RFT Lift (Right-First-Time):  </w:t>
      </w:r>
      <w:r>
        <w:rPr>
          <w:sz w:val="18"/>
          <w:szCs w:val="18"/>
          <w:color w:val="595959"/>
        </w:rPr>
        <w:t xml:space="preserve">rftGap = max(0, (0.99 − currentRFT) / (0.99 − 0.90))   ← linear interpolation to 99% target
rftLifted = $3.15/MT × batchMT × rftGap   (only booked when batch is in-spec)
Calibration: $3.15/MT is derived from a 25,000 MT/yr reference plant where closing the full 90%→99% RFT gap was independently valued at $78,750/yr. The gap factor scales that rate to each plant's current RFT position — a plant already at 97% captures less per tonne than one starting at 91%, reflecting diminishing marginal return as perfection is approached.</w:t>
      </w:r>
    </w:p>
    <w:p>
      <w:pPr>
        <w:jc w:val="left"/>
        <w:spacing w:before="0" w:after="100"/>
      </w:pPr>
      <w:r>
        <w:rPr>
          <w:b/>
          <w:sz w:val="19"/>
          <w:szCs w:val="19"/>
          <w:color w:val="1F3864"/>
        </w:rPr>
        <w:t xml:space="preserve">Annual scenario projection:</w:t>
      </w:r>
    </w:p>
    <w:p>
      <w:pPr>
        <w:ind w:left="200" w:right="200"/>
        <w:spacing w:before="60" w:after="60"/>
        <w:shd w:val="clear" w:color="auto" w:fill="D6E4F0"/>
      </w:pPr>
      <w:r>
        <w:rPr>
          <w:b/>
          <w:sz w:val="18"/>
          <w:szCs w:val="18"/>
          <w:color w:val="1F3864"/>
        </w:rPr>
        <w:t xml:space="preserve">annualProjection = captured_30d × (365 / 30)  </w:t>
      </w:r>
      <w:r>
        <w:rPr>
          <w:sz w:val="18"/>
          <w:szCs w:val="18"/>
          <w:color w:val="595959"/>
        </w:rPr>
        <w:t xml:space="preserve">Conservative = projection × 0.67  (Year-1 commit — accounts for ramp-up)
Expected      = projection × 1.00  (Captured rate forward — most likely)
Optimistic    = projection × 1.33  (Upper bound — full grade coverage, all COAs captured)</w:t>
      </w:r>
    </w:p>
    <w:p>
      <w:pPr>
        <w:pStyle w:val="Heading3"/>
        <w:spacing w:before="200" w:after="80"/>
      </w:pPr>
      <w:r>
        <w:rPr>
          <w:b/>
          <w:sz w:val="22"/>
          <w:szCs w:val="22"/>
          <w:color w:val="2E75B6"/>
        </w:rPr>
        <w:t xml:space="preserve">How it is trained</w:t>
      </w:r>
    </w:p>
    <w:p>
      <w:pPr>
        <w:jc w:val="left"/>
        <w:spacing w:before="0" w:after="100"/>
      </w:pPr>
      <w:r>
        <w:rPr>
          <w:sz w:val="19"/>
          <w:szCs w:val="19"/>
        </w:rPr>
        <w:t xml:space="preserve">SAE-05's cost parameters (additive and base oil costs, top-up percentage, RFT rate) are initialised from plant master data at configuration. The three savings formula structures are analytically derived and fixed — they are not learned. What is learned are the grade-specific calibration constants: the effective top-up percentage that plants actually need when COA variance goes uncorrected, and the plant-specific RFT rate (which may differ from the $3.15/MT reference as actual claims and rework costs are measured). These constants are updated by PBR-09 after each batch using real cost and quality outcome data.</w:t>
      </w:r>
    </w:p>
    <w:p>
      <w:pPr>
        <w:pStyle w:val="Heading3"/>
        <w:spacing w:before="200" w:after="80"/>
      </w:pPr>
      <w:r>
        <w:rPr>
          <w:b/>
          <w:sz w:val="22"/>
          <w:szCs w:val="22"/>
          <w:color w:val="2E75B6"/>
        </w:rPr>
        <w:t xml:space="preserve">How it learns over time</w:t>
      </w:r>
    </w:p>
    <w:p>
      <w:pPr>
        <w:jc w:val="left"/>
        <w:spacing w:before="0" w:after="120"/>
      </w:pPr>
      <w:r>
        <w:rPr>
          <w:sz w:val="19"/>
          <w:szCs w:val="19"/>
        </w:rPr>
        <w:t xml:space="preserve">It learns each plant's true cost coefficients. If production records show that uncorrected batches actually require a 0.6% top-up rather than 0.5%, the effective top-up rate is recalibrated upward, increasing the computed savings for future batches — accurately reflecting the plant's real avoidable cost. Similarly, if actual claims and laboratory rework costs are tracked, the RFT rate per tonne is updated from the reference $3.15 to the plant's own figure, making the financial model increasingly precise over time.</w:t>
      </w:r>
    </w:p>
    <w:p>
      <w:r>
        <w:br w:type="page"/>
      </w:r>
    </w:p>
    <w:p>
      <w:pPr>
        <w:pStyle w:val="Heading1"/>
        <w:spacing w:before="200" w:after="80"/>
      </w:pPr>
      <w:r>
        <w:rPr>
          <w:b/>
          <w:sz w:val="28"/>
          <w:szCs w:val="28"/>
          <w:color w:val="1F3864"/>
        </w:rPr>
        <w:t xml:space="preserve">7.  Blend Quality Score Engine (BQS-06)</w:t>
      </w:r>
    </w:p>
    <w:p>
      <w:pPr>
        <w:jc w:val="left"/>
        <w:spacing w:before="0" w:after="100"/>
      </w:pPr>
      <w:r>
        <w:rPr>
          <w:b/>
          <w:sz w:val="19"/>
          <w:szCs w:val="19"/>
          <w:color w:val="2E75B6"/>
        </w:rPr>
        <w:t xml:space="preserve">Role in a blend event:  </w:t>
      </w:r>
      <w:r>
        <w:rPr>
          <w:sz w:val="19"/>
          <w:szCs w:val="19"/>
        </w:rPr>
        <w:t xml:space="preserve">Acts after SAE-05, converting blend assessments into a single actionable quality score.</w:t>
      </w:r>
    </w:p>
    <w:p>
      <w:pPr>
        <w:pStyle w:val="Heading3"/>
        <w:spacing w:before="200" w:after="80"/>
      </w:pPr>
      <w:r>
        <w:rPr>
          <w:b/>
          <w:sz w:val="22"/>
          <w:szCs w:val="22"/>
          <w:color w:val="2E75B6"/>
        </w:rPr>
        <w:t xml:space="preserve">What it does</w:t>
      </w:r>
    </w:p>
    <w:p>
      <w:pPr>
        <w:jc w:val="left"/>
        <w:spacing w:before="0" w:after="100"/>
      </w:pPr>
      <w:r>
        <w:rPr>
          <w:sz w:val="19"/>
          <w:szCs w:val="19"/>
        </w:rPr>
        <w:t xml:space="preserve">BQS-06 combines outputs from BPP-03 and SAE-05 into two instruments that operators and the AI Control Panel can act on immediately: a Blend Quality Score from 0 to 10, and an Off-Spec Risk percentage from 0% to 100%. The Quality Score is a transparent weighted function of five criteria: viscosity compliance, flash point compliance, TBN compliance, elemental compliance (Ca/Zn/P), and recipe mass balance. The Off-Spec Risk is the probability that the batch will fail laboratory acceptance, given the predicted properties and current rebalance status.</w:t>
      </w:r>
    </w:p>
    <w:p>
      <w:pPr>
        <w:ind w:left="200" w:right="200"/>
        <w:spacing w:before="60" w:after="60"/>
        <w:shd w:val="clear" w:color="auto" w:fill="D6E4F0"/>
      </w:pPr>
      <w:r>
        <w:rPr>
          <w:b/>
          <w:sz w:val="18"/>
          <w:szCs w:val="18"/>
          <w:color w:val="1F3864"/>
        </w:rPr>
        <w:t xml:space="preserve">Quality Score formula:  </w:t>
      </w:r>
      <w:r>
        <w:rPr>
          <w:sz w:val="18"/>
          <w:szCs w:val="18"/>
          <w:color w:val="595959"/>
        </w:rPr>
        <w:t xml:space="preserve">Q = w₁×viscosityScore + w₂×flashScore + w₃×tbnScore + w₄×elementalScore + w₅×balanceScore
where each sub-score is 1.0 if predicted value is within specification, scaling down linearly to 0 at the rejection limit.
Default weights (calibrated per grade): viscosity 35% · elemental 25% · TBN 20% · flash 15% · balance 5%</w:t>
      </w:r>
    </w:p>
    <w:p>
      <w:pPr>
        <w:pStyle w:val="Heading3"/>
        <w:spacing w:before="200" w:after="80"/>
      </w:pPr>
      <w:r>
        <w:rPr>
          <w:b/>
          <w:sz w:val="22"/>
          <w:szCs w:val="22"/>
          <w:color w:val="2E75B6"/>
        </w:rPr>
        <w:t xml:space="preserve">How it is trained</w:t>
      </w:r>
    </w:p>
    <w:p>
      <w:pPr>
        <w:jc w:val="left"/>
        <w:spacing w:before="0" w:after="100"/>
      </w:pPr>
      <w:r>
        <w:rPr>
          <w:sz w:val="19"/>
          <w:szCs w:val="19"/>
        </w:rPr>
        <w:t xml:space="preserve">The formula weights are initialised from domain expertise (viscosity is the most commercially critical parameter for most grades) and are then continuously recalibrated by PBR-09 using a regression of predicted score against laboratory outcome: if high-quality-score batches consistently fail on one parameter, that parameter's weight is increased.</w:t>
      </w:r>
    </w:p>
    <w:p>
      <w:pPr>
        <w:pStyle w:val="Heading3"/>
        <w:spacing w:before="200" w:after="80"/>
      </w:pPr>
      <w:r>
        <w:rPr>
          <w:b/>
          <w:sz w:val="22"/>
          <w:szCs w:val="22"/>
          <w:color w:val="2E75B6"/>
        </w:rPr>
        <w:t xml:space="preserve">How it learns over time</w:t>
      </w:r>
    </w:p>
    <w:p>
      <w:pPr>
        <w:jc w:val="left"/>
        <w:spacing w:before="0" w:after="120"/>
      </w:pPr>
      <w:r>
        <w:rPr>
          <w:sz w:val="19"/>
          <w:szCs w:val="19"/>
        </w:rPr>
        <w:t xml:space="preserve">It learns grade-specific quality drivers. An engine-oil grade may need higher viscosity weight; a turbine oil grade may weight elemental compliance higher because oxidation stability is the primary failure mode. Over production history, the weights become grade-specific rather than generic, producing quality scores that more accurately predict real laboratory pass/fail outcomes.</w:t>
      </w:r>
    </w:p>
    <w:p>
      <w:pPr>
        <w:pStyle w:val="Heading1"/>
        <w:spacing w:before="200" w:after="80"/>
      </w:pPr>
      <w:r>
        <w:rPr>
          <w:b/>
          <w:sz w:val="28"/>
          <w:szCs w:val="28"/>
          <w:color w:val="1F3864"/>
        </w:rPr>
        <w:t xml:space="preserve">8.  Supply &amp; Procurement Optimizer (SPO-07)</w:t>
      </w:r>
    </w:p>
    <w:p>
      <w:pPr>
        <w:jc w:val="left"/>
        <w:spacing w:before="0" w:after="100"/>
      </w:pPr>
      <w:r>
        <w:rPr>
          <w:b/>
          <w:sz w:val="19"/>
          <w:szCs w:val="19"/>
          <w:color w:val="2E75B6"/>
        </w:rPr>
        <w:t xml:space="preserve">Role in a blend event:  </w:t>
      </w:r>
      <w:r>
        <w:rPr>
          <w:sz w:val="19"/>
          <w:szCs w:val="19"/>
        </w:rPr>
        <w:t xml:space="preserve">Acts at batch-creation time and at periodic procurement cycles, not just per-batch.</w:t>
      </w:r>
    </w:p>
    <w:p>
      <w:pPr>
        <w:pStyle w:val="Heading3"/>
        <w:spacing w:before="200" w:after="80"/>
      </w:pPr>
      <w:r>
        <w:rPr>
          <w:b/>
          <w:sz w:val="22"/>
          <w:szCs w:val="22"/>
          <w:color w:val="2E75B6"/>
        </w:rPr>
        <w:t xml:space="preserve">What it does</w:t>
      </w:r>
    </w:p>
    <w:p>
      <w:pPr>
        <w:jc w:val="left"/>
        <w:spacing w:before="0" w:after="100"/>
      </w:pPr>
      <w:r>
        <w:rPr>
          <w:sz w:val="19"/>
          <w:szCs w:val="19"/>
        </w:rPr>
        <w:t xml:space="preserve">SPO-07 ranks available suppliers for each material and recommends volume allocations to minimise total procurement cost while maintaining quality grade requirements and lead-time constraints. It uses a multi-criterion composite score across four dimensions: price, lead time, quality grade, and historical reliability. It is also the model that connects procurement decisions to savings: the material cost differential that feeds SAE-05's savings formulas is taken from SPO-07's current supplier rates.</w:t>
      </w:r>
    </w:p>
    <w:p>
      <w:pPr>
        <w:ind w:left="200" w:right="200"/>
        <w:spacing w:before="60" w:after="60"/>
        <w:shd w:val="clear" w:color="auto" w:fill="D6E4F0"/>
      </w:pPr>
      <w:r>
        <w:rPr>
          <w:b/>
          <w:sz w:val="18"/>
          <w:szCs w:val="18"/>
          <w:color w:val="1F3864"/>
        </w:rPr>
        <w:t xml:space="preserve">Composite supplier score:  </w:t>
      </w:r>
      <w:r>
        <w:rPr>
          <w:sz w:val="18"/>
          <w:szCs w:val="18"/>
          <w:color w:val="595959"/>
        </w:rPr>
        <w:t xml:space="preserve">score = w_price × priceScore + w_lead × leadScore + w_quality × qualityScore + w_reliability × reliabilityScore
Default weights: cost-priority mode — price 50%, quality 20%, lead 15%, reliability 15%
               quality-priority mode — quality 50%, reliability 20%, price 15%, lead 15%
               balanced mode — price 30%, lead 25%, quality 25%, reliability 20%
Recommended allocation: top-ranked supplier 70% · second-ranked 30% (dual-source resilience)</w:t>
      </w:r>
    </w:p>
    <w:p>
      <w:pPr>
        <w:pStyle w:val="Heading3"/>
        <w:spacing w:before="200" w:after="80"/>
      </w:pPr>
      <w:r>
        <w:rPr>
          <w:b/>
          <w:sz w:val="22"/>
          <w:szCs w:val="22"/>
          <w:color w:val="2E75B6"/>
        </w:rPr>
        <w:t xml:space="preserve">How it is trained</w:t>
      </w:r>
    </w:p>
    <w:p>
      <w:pPr>
        <w:jc w:val="left"/>
        <w:spacing w:before="0" w:after="100"/>
      </w:pPr>
      <w:r>
        <w:rPr>
          <w:sz w:val="19"/>
          <w:szCs w:val="19"/>
        </w:rPr>
        <w:t xml:space="preserve">SPO-07's scoring parameters are initialised from tender data and quality-grade lookups. The allocation split (70/30) and the weight presets are expert-configured starting points. Both are refined by PBR-09 after each procurement cycle using actual delivery performance data: lead-time actuals versus quoted, lot rejection rates per supplier, and the cost impact of delays on production scheduling.</w:t>
      </w:r>
    </w:p>
    <w:p>
      <w:pPr>
        <w:pStyle w:val="Heading3"/>
        <w:spacing w:before="200" w:after="80"/>
      </w:pPr>
      <w:r>
        <w:rPr>
          <w:b/>
          <w:sz w:val="22"/>
          <w:szCs w:val="22"/>
          <w:color w:val="2E75B6"/>
        </w:rPr>
        <w:t xml:space="preserve">How it learns over time</w:t>
      </w:r>
    </w:p>
    <w:p>
      <w:pPr>
        <w:jc w:val="left"/>
        <w:spacing w:before="0" w:after="120"/>
      </w:pPr>
      <w:r>
        <w:rPr>
          <w:sz w:val="19"/>
          <w:szCs w:val="19"/>
        </w:rPr>
        <w:t xml:space="preserve">It learns which suppliers' COA values are most predictive of blend outcomes — directly linking procurement decisions to blend quality. A supplier whose COA viscosity values consistently correlate with accurate blend predictions has its quality reliability weight increased; one whose certificates prove unreliable is downgraded. This means SPO-07 and BPP-03 become jointly calibrated over time, and the savings computed by SAE-05 become more accurate as a result.</w:t>
      </w:r>
    </w:p>
    <w:p>
      <w:r>
        <w:br w:type="page"/>
      </w:r>
    </w:p>
    <w:p>
      <w:pPr>
        <w:pStyle w:val="Heading1"/>
        <w:spacing w:before="200" w:after="80"/>
      </w:pPr>
      <w:r>
        <w:rPr>
          <w:b/>
          <w:sz w:val="28"/>
          <w:szCs w:val="28"/>
          <w:color w:val="1F3864"/>
        </w:rPr>
        <w:t xml:space="preserve">9.  Recommendation &amp; Alert Engine (RAE-08)</w:t>
      </w:r>
    </w:p>
    <w:p>
      <w:pPr>
        <w:jc w:val="left"/>
        <w:spacing w:before="0" w:after="100"/>
      </w:pPr>
      <w:r>
        <w:rPr>
          <w:b/>
          <w:sz w:val="19"/>
          <w:szCs w:val="19"/>
          <w:color w:val="2E75B6"/>
        </w:rPr>
        <w:t xml:space="preserve">Role in a blend event:  </w:t>
      </w:r>
      <w:r>
        <w:rPr>
          <w:sz w:val="19"/>
          <w:szCs w:val="19"/>
        </w:rPr>
        <w:t xml:space="preserve">Acts last in the live event, producing and delivering blend-operator guidance.</w:t>
      </w:r>
    </w:p>
    <w:p>
      <w:pPr>
        <w:pStyle w:val="Heading3"/>
        <w:spacing w:before="200" w:after="80"/>
      </w:pPr>
      <w:r>
        <w:rPr>
          <w:b/>
          <w:sz w:val="22"/>
          <w:szCs w:val="22"/>
          <w:color w:val="2E75B6"/>
        </w:rPr>
        <w:t xml:space="preserve">What it does</w:t>
      </w:r>
    </w:p>
    <w:p>
      <w:pPr>
        <w:jc w:val="left"/>
        <w:spacing w:before="0" w:after="100"/>
      </w:pPr>
      <w:r>
        <w:rPr>
          <w:sz w:val="19"/>
          <w:szCs w:val="19"/>
        </w:rPr>
        <w:t xml:space="preserve">RAE-08 generates the actionable outputs from every blend event: natural-language recommendations to operators (increase viscosity modifier by 0.8%, switch base oil to Supplier B for this lot), quality deviation alerts (viscosity 1.2% below spec — minor), and the AI Control Panel responses that allow operators to query the system in plain language. It also manages the priority and channel of each communication: a CRITICAL off-spec risk triggers an immediate blender alert and supervisor notification; a LOW-impact recommendation is queued as an advisory for the next batch planning cycle.</w:t>
      </w:r>
    </w:p>
    <w:p>
      <w:pPr>
        <w:pStyle w:val="Heading3"/>
        <w:spacing w:before="200" w:after="80"/>
      </w:pPr>
      <w:r>
        <w:rPr>
          <w:b/>
          <w:sz w:val="22"/>
          <w:szCs w:val="22"/>
          <w:color w:val="2E75B6"/>
        </w:rPr>
        <w:t xml:space="preserve">How it is trained</w:t>
      </w:r>
    </w:p>
    <w:p>
      <w:pPr>
        <w:jc w:val="left"/>
        <w:spacing w:before="0" w:after="100"/>
      </w:pPr>
      <w:r>
        <w:rPr>
          <w:sz w:val="19"/>
          <w:szCs w:val="19"/>
        </w:rPr>
        <w:t xml:space="preserve">RAE-08's language generation is a fine-tuned language model trained on a library of verified blend advisory content, ASTM and SAE specification language, and historical operator-response records. Its alert prioritisation logic is a classifier trained on past events, mapping risk level and operator response urgency to communication channel and timing.</w:t>
      </w:r>
    </w:p>
    <w:p>
      <w:pPr>
        <w:pStyle w:val="Heading3"/>
        <w:spacing w:before="200" w:after="80"/>
      </w:pPr>
      <w:r>
        <w:rPr>
          <w:b/>
          <w:sz w:val="22"/>
          <w:szCs w:val="22"/>
          <w:color w:val="2E75B6"/>
        </w:rPr>
        <w:t xml:space="preserve">How it learns over time</w:t>
      </w:r>
    </w:p>
    <w:p>
      <w:pPr>
        <w:jc w:val="left"/>
        <w:spacing w:before="0" w:after="120"/>
      </w:pPr>
      <w:r>
        <w:rPr>
          <w:sz w:val="19"/>
          <w:szCs w:val="19"/>
        </w:rPr>
        <w:t xml:space="preserve">It learns which recommendations operators act on and which produce the intended outcome. The refinement loop tracks whether recommended adjustments were applied and whether they resulted in in-specification batches. Recommendations that consistently led to successful outcomes are reinforced; wording and timing choices that were ignored or misunderstood are revised. Over time, OmniBlend's advisory language becomes calibrated to each plant's operator team and terminology.</w:t>
      </w:r>
    </w:p>
    <w:p>
      <w:pPr>
        <w:pStyle w:val="Heading1"/>
        <w:spacing w:before="200" w:after="80"/>
      </w:pPr>
      <w:r>
        <w:rPr>
          <w:b/>
          <w:sz w:val="28"/>
          <w:szCs w:val="28"/>
          <w:color w:val="1F3864"/>
        </w:rPr>
        <w:t xml:space="preserve">10.  Post-Batch Refinement Engine (PBR-09) — the Model that Trains the Models</w:t>
      </w:r>
    </w:p>
    <w:p>
      <w:pPr>
        <w:jc w:val="left"/>
        <w:spacing w:before="0" w:after="100"/>
      </w:pPr>
      <w:r>
        <w:rPr>
          <w:b/>
          <w:sz w:val="19"/>
          <w:szCs w:val="19"/>
          <w:color w:val="2E75B6"/>
        </w:rPr>
        <w:t xml:space="preserve">Role in a blend event:  </w:t>
      </w:r>
      <w:r>
        <w:rPr>
          <w:sz w:val="19"/>
          <w:szCs w:val="19"/>
        </w:rPr>
        <w:t xml:space="preserve">Acts after the batch is closed and laboratory results are confirmed. It is the self-improvement mechanism.</w:t>
      </w:r>
    </w:p>
    <w:p>
      <w:pPr>
        <w:pStyle w:val="Heading3"/>
        <w:spacing w:before="200" w:after="80"/>
      </w:pPr>
      <w:r>
        <w:rPr>
          <w:b/>
          <w:sz w:val="22"/>
          <w:szCs w:val="22"/>
          <w:color w:val="2E75B6"/>
        </w:rPr>
        <w:t xml:space="preserve">What it does</w:t>
      </w:r>
    </w:p>
    <w:p>
      <w:pPr>
        <w:jc w:val="left"/>
        <w:spacing w:before="0" w:after="100"/>
      </w:pPr>
      <w:r>
        <w:rPr>
          <w:sz w:val="19"/>
          <w:szCs w:val="19"/>
        </w:rPr>
        <w:t xml:space="preserve">PBR-09 is the engine behind every 'learns over time' statement in this document. Once a batch closes — meaning laboratory analysis is complete and the batch is either passed to filling or rejected — PBR-09 collects the outcome evidence: actual KV, flash point, TBN, and elemental results from the laboratory information management system (LIMS); blending time and kettle energy consumption from the DCS; any rework costs or batch failures; and operator feedback on recommendations. It then computes the gap between each model's prediction and the corresponding real outcome, and applies a small, targeted weight adjustment to close that gap.</w:t>
      </w:r>
    </w:p>
    <w:p>
      <w:pPr>
        <w:pStyle w:val="Heading3"/>
        <w:spacing w:before="200" w:after="80"/>
      </w:pPr>
      <w:r>
        <w:rPr>
          <w:b/>
          <w:sz w:val="22"/>
          <w:szCs w:val="22"/>
          <w:color w:val="2E75B6"/>
        </w:rPr>
        <w:t xml:space="preserve">How it is trained</w:t>
      </w:r>
    </w:p>
    <w:p>
      <w:pPr>
        <w:jc w:val="left"/>
        <w:spacing w:before="0" w:after="100"/>
      </w:pPr>
      <w:r>
        <w:rPr>
          <w:sz w:val="19"/>
          <w:szCs w:val="19"/>
        </w:rPr>
        <w:t xml:space="preserve">PBR-09 uses delta-learning: it does not retrain any model from scratch, does not require a model to be taken offline, and does not require a human data scientist to supervise the cycle. It computes only the incremental weight adjustment needed from the latest batch's outcome gap, applies it with a controlled learning rate (preventing any single batch from over-correcting the model), and writes the updated parameters back to the affected models asynchronously — so the next batch runs on a marginally improved set of models.</w:t>
      </w:r>
    </w:p>
    <w:p>
      <w:pPr>
        <w:pStyle w:val="Heading3"/>
        <w:spacing w:before="200" w:after="80"/>
      </w:pPr>
      <w:r>
        <w:rPr>
          <w:b/>
          <w:sz w:val="22"/>
          <w:szCs w:val="22"/>
          <w:color w:val="2E75B6"/>
        </w:rPr>
        <w:t xml:space="preserve">How it learns over time</w:t>
      </w:r>
    </w:p>
    <w:p>
      <w:pPr>
        <w:jc w:val="left"/>
        <w:spacing w:before="0" w:after="100"/>
      </w:pPr>
      <w:r>
        <w:rPr>
          <w:sz w:val="19"/>
          <w:szCs w:val="19"/>
        </w:rPr>
        <w:t xml:space="preserve">PBR-09 is itself the learning mechanism — it does not learn in the conventional sense. Its effect is cumulative and compounding: every batch OmniBlend processes makes every model that handles the next batch slightly more accurate. After 50 batches, the platform is meaningfully better calibrated than it was at deployment; after 200, the grade-specific sensitivity coefficients and cost parameters reflect the plant's actual blending physics rather than initial estimates. This per-batch, autonomous, closed-loop retraining — requiring no human intervention and no scheduled downtime — is the core differentiating capability of the OmniBlend platform.</w:t>
      </w:r>
    </w:p>
    <w:p>
      <w:pPr>
        <w:jc w:val="left"/>
        <w:spacing w:before="0" w:after="100"/>
      </w:pPr>
      <w:r>
        <w:rPr>
          <w:sz w:val="12"/>
          <w:szCs w:val="12"/>
        </w:rPr>
        <w:t xml:space="preserve"> </w:t>
      </w:r>
    </w:p>
    <w:p>
      <w:pPr>
        <w:ind w:left="200" w:right="200"/>
        <w:spacing w:before="60" w:after="60"/>
        <w:shd w:val="clear" w:color="auto" w:fill="D6E4F0"/>
      </w:pPr>
      <w:r>
        <w:rPr>
          <w:b/>
          <w:sz w:val="18"/>
          <w:szCs w:val="18"/>
          <w:color w:val="1F3864"/>
        </w:rPr>
        <w:t xml:space="preserve">Reference calibration embedded in PBR-09:  </w:t>
      </w:r>
      <w:r>
        <w:rPr>
          <w:sz w:val="18"/>
          <w:szCs w:val="18"/>
          <w:color w:val="595959"/>
        </w:rPr>
        <w:t xml:space="preserve">All savings models are anchored to a 25,000 MT/yr reference plant where:
  RFT baseline = 90%  ·  RFT target = 99%  ·  RFT value = $3.15/MT
  Additive cost = $2,500/MT  ·  Base oil cost = $850/MT  ·  Cost differential = $1,650/MT
  Top-up rate = 0.5% corrective dose  ·  Reference annual RFT value = $78,750
PBR-09 tracks each plant's deviation from this reference and updates the plant-specific coefficients accordingly, so the savings model becomes a precise reflection of that plant's real cost structure rather than a generic estimate.</w:t>
      </w:r>
    </w:p>
    <w:p>
      <w:r>
        <w:br w:type="page"/>
      </w:r>
    </w:p>
    <w:p>
      <w:pPr>
        <w:pStyle w:val="Heading1"/>
        <w:spacing w:before="200" w:after="80"/>
      </w:pPr>
      <w:r>
        <w:rPr>
          <w:b/>
          <w:sz w:val="28"/>
          <w:szCs w:val="28"/>
          <w:color w:val="1F3864"/>
        </w:rPr>
        <w:t xml:space="preserve">11.  The One Training Principle Behind Every Model</w:t>
      </w:r>
    </w:p>
    <w:p>
      <w:pPr>
        <w:jc w:val="left"/>
        <w:spacing w:before="0" w:after="100"/>
      </w:pPr>
      <w:r>
        <w:rPr>
          <w:sz w:val="19"/>
          <w:szCs w:val="19"/>
        </w:rPr>
        <w:t xml:space="preserve">If a reader takes away a single point about how OmniBlend's AI/ML models are trained, it is this: every model in the blend chain is trained in two stages, and the second stage never stops.</w:t>
      </w:r>
    </w:p>
    <w:p>
      <w:pPr>
        <w:ind w:left="360" w:hanging="180"/>
        <w:spacing w:before="0" w:after="60"/>
      </w:pPr>
      <w:r>
        <w:rPr>
          <w:b/>
          <w:sz w:val="19"/>
          <w:szCs w:val="19"/>
          <w:color w:val="1F3864"/>
        </w:rPr>
        <w:t xml:space="preserve">• </w:t>
      </w:r>
      <w:r>
        <w:rPr>
          <w:sz w:val="19"/>
          <w:szCs w:val="19"/>
        </w:rPr>
        <w:t xml:space="preserve">Initial training.  Each model is first trained on historical data — past blend records, laboratory results, COA archives, supplier performance history — so that it is competent and produces defensible outputs from its first live batch.</w:t>
      </w:r>
    </w:p>
    <w:p>
      <w:pPr>
        <w:ind w:left="360" w:hanging="180"/>
        <w:spacing w:before="0" w:after="60"/>
      </w:pPr>
      <w:r>
        <w:rPr>
          <w:b/>
          <w:sz w:val="19"/>
          <w:szCs w:val="19"/>
          <w:color w:val="1F3864"/>
        </w:rPr>
        <w:t xml:space="preserve">• </w:t>
      </w:r>
      <w:r>
        <w:rPr>
          <w:sz w:val="19"/>
          <w:szCs w:val="19"/>
        </w:rPr>
        <w:t xml:space="preserve">Continuous refinement.  After every production batch, the Post-Batch Refinement Engine (PBR-09) compares every model's prediction against the laboratory-confirmed reality and feeds the difference back as a small, automatic weight adjustment. No human triggers this cycle; no model is taken offline; no retraining run is scheduled.</w:t>
      </w:r>
    </w:p>
    <w:p>
      <w:pPr>
        <w:jc w:val="left"/>
        <w:spacing w:before="0" w:after="100"/>
      </w:pPr>
      <w:r>
        <w:rPr>
          <w:sz w:val="10"/>
          <w:szCs w:val="10"/>
        </w:rPr>
        <w:t xml:space="preserve"> </w:t>
      </w:r>
    </w:p>
    <w:p>
      <w:pPr>
        <w:jc w:val="left"/>
        <w:spacing w:before="0" w:after="100"/>
      </w:pPr>
      <w:r>
        <w:rPr>
          <w:sz w:val="19"/>
          <w:szCs w:val="19"/>
        </w:rPr>
        <w:t xml:space="preserve">The practical consequences — and the central claims of OmniBlend's novel architecture — are:</w:t>
      </w:r>
    </w:p>
    <w:p>
      <w:pPr>
        <w:ind w:left="360" w:hanging="180"/>
        <w:spacing w:before="0" w:after="60"/>
      </w:pPr>
      <w:r>
        <w:rPr>
          <w:b/>
          <w:sz w:val="19"/>
          <w:szCs w:val="19"/>
          <w:color w:val="1F3864"/>
        </w:rPr>
        <w:t xml:space="preserve">• </w:t>
      </w:r>
      <w:r>
        <w:rPr>
          <w:sz w:val="19"/>
          <w:szCs w:val="19"/>
        </w:rPr>
        <w:t xml:space="preserve">The platform genuinely improves its own predictions over time. It learns which base oil suppliers' lots are most predictable, which additive packages tend to run over-potent, which grades are most sensitive to swing-component variation, and which blenders achieve the tightest dosing accuracy. None of this requires a person to intervene.</w:t>
      </w:r>
    </w:p>
    <w:p>
      <w:pPr>
        <w:ind w:left="360" w:hanging="180"/>
        <w:spacing w:before="0" w:after="60"/>
      </w:pPr>
      <w:r>
        <w:rPr>
          <w:b/>
          <w:sz w:val="19"/>
          <w:szCs w:val="19"/>
          <w:color w:val="1F3864"/>
        </w:rPr>
        <w:t xml:space="preserve">• </w:t>
      </w:r>
      <w:r>
        <w:rPr>
          <w:sz w:val="19"/>
          <w:szCs w:val="19"/>
        </w:rPr>
        <w:t xml:space="preserve">The savings calculations become more precise with every batch. SAE-05's cost coefficients are calibrated against real outcomes, not generic reference values, so the financial value reported to management is increasingly auditable and defensible.</w:t>
      </w:r>
    </w:p>
    <w:p>
      <w:pPr>
        <w:ind w:left="360" w:hanging="180"/>
        <w:spacing w:before="0" w:after="60"/>
      </w:pPr>
      <w:r>
        <w:rPr>
          <w:b/>
          <w:sz w:val="19"/>
          <w:szCs w:val="19"/>
          <w:color w:val="1F3864"/>
        </w:rPr>
        <w:t xml:space="preserve">• </w:t>
      </w:r>
      <w:r>
        <w:rPr>
          <w:sz w:val="19"/>
          <w:szCs w:val="19"/>
        </w:rPr>
        <w:t xml:space="preserve">The rebalance recommendations become better adapted to each plant's physical constraints. RSE-04 learns what its blenders can actually achieve, not what the solver theoretically prescribes, so operator confidence in acting on OmniBlend's recommendations increases over time.</w:t>
      </w:r>
    </w:p>
    <w:p>
      <w:pPr>
        <w:ind w:left="360" w:hanging="180"/>
        <w:spacing w:before="0" w:after="60"/>
      </w:pPr>
      <w:r>
        <w:rPr>
          <w:b/>
          <w:sz w:val="19"/>
          <w:szCs w:val="19"/>
          <w:color w:val="1F3864"/>
        </w:rPr>
        <w:t xml:space="preserve">• </w:t>
      </w:r>
      <w:r>
        <w:rPr>
          <w:sz w:val="19"/>
          <w:szCs w:val="19"/>
        </w:rPr>
        <w:t xml:space="preserve">The data quality model becomes specific to each supplier and grade. DQS-02 learns the normal lot-to-lot variation for each supplier's material, so it can tell a genuine out-of-spec delivery from routine variation — reducing false positives and improving the signal-to-noise ratio of the COA validation step.</w:t>
      </w:r>
    </w:p>
    <w:p>
      <w:pPr>
        <w:jc w:val="left"/>
        <w:spacing w:before="0" w:after="100"/>
      </w:pPr>
      <w:r>
        <w:rPr>
          <w:sz w:val="10"/>
          <w:szCs w:val="10"/>
        </w:rPr>
        <w:t xml:space="preserve"> </w:t>
      </w:r>
    </w:p>
    <w:tbl>
      <w:tblPr>
        <w:tblW w:w="5000" w:type="pct"/>
        <w:tblBorders>
          <w:top w:val="single" w:sz="4" w:color="AAAAAA"/>
          <w:left w:val="single" w:sz="4" w:color="AAAAAA"/>
          <w:bottom w:val="single" w:sz="4" w:color="AAAAAA"/>
          <w:right w:val="single" w:sz="4" w:color="AAAAAA"/>
          <w:insideH w:val="single" w:sz="4" w:color="CCCCCC"/>
          <w:insideV w:val="single" w:sz="4" w:color="CCCCCC"/>
        </w:tblBorders>
        <w:tblLook w:val="04A0"/>
      </w:tblPr>
      <w:tr>
        <w:tc>
          <w:tcPr>
            <w:tcW w:w="2000" w:type="pct"/>
            <w:shd w:val="clear" w:color="FFFFFF" w:fill="1F3864"/>
          </w:tcPr>
          <w:p>
            <w:pPr>
              <w:spacing w:before="40" w:after="40"/>
              <w:jc w:val="left"/>
            </w:pPr>
            <w:r>
              <w:rPr>
                <w:b/>
                <w:sz w:val="18"/>
                <w:szCs w:val="18"/>
                <w:color w:val="FFFFFF"/>
              </w:rPr>
              <w:t xml:space="preserve">Training stage</w:t>
            </w:r>
          </w:p>
        </w:tc>
        <w:tc>
          <w:tcPr>
            <w:tcW w:w="3000" w:type="pct"/>
            <w:shd w:val="clear" w:color="FFFFFF" w:fill="1F3864"/>
          </w:tcPr>
          <w:p>
            <w:pPr>
              <w:spacing w:before="40" w:after="40"/>
              <w:jc w:val="left"/>
            </w:pPr>
            <w:r>
              <w:rPr>
                <w:b/>
                <w:sz w:val="18"/>
                <w:szCs w:val="18"/>
                <w:color w:val="FFFFFF"/>
              </w:rPr>
              <w:t xml:space="preserve">Mechanism</w:t>
            </w:r>
          </w:p>
        </w:tc>
      </w:tr>
      <w:tr>
        <w:tc>
          <w:tcPr>
            <w:tcW w:w="2000" w:type="pct"/>
            <w:shd w:val="clear" w:color="000000" w:fill="D6E4F0"/>
          </w:tcPr>
          <w:p>
            <w:pPr>
              <w:spacing w:before="40" w:after="40"/>
              <w:jc w:val="left"/>
            </w:pPr>
            <w:r>
              <w:rPr>
                <w:sz w:val="18"/>
                <w:szCs w:val="18"/>
                <w:color w:val="000000"/>
              </w:rPr>
              <w:t xml:space="preserve">1 — Initial (pre-deployment)</w:t>
            </w:r>
          </w:p>
        </w:tc>
        <w:tc>
          <w:tcPr>
            <w:tcW w:w="3000" w:type="pct"/>
            <w:shd w:val="clear" w:color="000000" w:fill="D6E4F0"/>
          </w:tcPr>
          <w:p>
            <w:pPr>
              <w:spacing w:before="40" w:after="40"/>
              <w:jc w:val="left"/>
            </w:pPr>
            <w:r>
              <w:rPr>
                <w:sz w:val="18"/>
                <w:szCs w:val="18"/>
                <w:color w:val="000000"/>
              </w:rPr>
              <w:t xml:space="preserve">Supervised training on historical blend records, COA archives, laboratory results, cost data.</w:t>
            </w:r>
          </w:p>
        </w:tc>
      </w:tr>
      <w:tr>
        <w:tc>
          <w:tcPr>
            <w:tcW w:w="2000" w:type="pct"/>
            <w:shd w:val="clear" w:color="000000" w:fill="FFFFFF"/>
          </w:tcPr>
          <w:p>
            <w:pPr>
              <w:spacing w:before="40" w:after="40"/>
              <w:jc w:val="left"/>
            </w:pPr>
            <w:r>
              <w:rPr>
                <w:sz w:val="18"/>
                <w:szCs w:val="18"/>
                <w:color w:val="000000"/>
              </w:rPr>
              <w:t xml:space="preserve">2 — Continuous (post-deployment)</w:t>
            </w:r>
          </w:p>
        </w:tc>
        <w:tc>
          <w:tcPr>
            <w:tcW w:w="3000" w:type="pct"/>
            <w:shd w:val="clear" w:color="000000" w:fill="FFFFFF"/>
          </w:tcPr>
          <w:p>
            <w:pPr>
              <w:spacing w:before="40" w:after="40"/>
              <w:jc w:val="left"/>
            </w:pPr>
            <w:r>
              <w:rPr>
                <w:sz w:val="18"/>
                <w:szCs w:val="18"/>
                <w:color w:val="000000"/>
              </w:rPr>
              <w:t xml:space="preserve">Per-batch delta-learning via PBR-09: prediction vs. outcome gap → automatic weight update, no human intervention, no model downtime.</w:t>
            </w:r>
          </w:p>
        </w:tc>
      </w:tr>
      <w:tr>
        <w:tc>
          <w:tcPr>
            <w:tcW w:w="2000" w:type="pct"/>
            <w:shd w:val="clear" w:color="000000" w:fill="D6E4F0"/>
          </w:tcPr>
          <w:p>
            <w:pPr>
              <w:spacing w:before="40" w:after="40"/>
              <w:jc w:val="left"/>
            </w:pPr>
            <w:r>
              <w:rPr>
                <w:sz w:val="18"/>
                <w:szCs w:val="18"/>
                <w:color w:val="000000"/>
              </w:rPr>
              <w:t xml:space="preserve">Scope</w:t>
            </w:r>
          </w:p>
        </w:tc>
        <w:tc>
          <w:tcPr>
            <w:tcW w:w="3000" w:type="pct"/>
            <w:shd w:val="clear" w:color="000000" w:fill="D6E4F0"/>
          </w:tcPr>
          <w:p>
            <w:pPr>
              <w:spacing w:before="40" w:after="40"/>
              <w:jc w:val="left"/>
            </w:pPr>
            <w:r>
              <w:rPr>
                <w:sz w:val="18"/>
                <w:szCs w:val="18"/>
                <w:color w:val="000000"/>
              </w:rPr>
              <w:t xml:space="preserve">All 9 models. Each has a different gap metric (KV error, savings delta, supplier forecast error, recommendation acceptance rate) but the same two-stage training architecture.</w:t>
            </w:r>
          </w:p>
        </w:tc>
      </w:tr>
      <w:tr>
        <w:tc>
          <w:tcPr>
            <w:tcW w:w="2000" w:type="pct"/>
            <w:shd w:val="clear" w:color="000000" w:fill="FFFFFF"/>
          </w:tcPr>
          <w:p>
            <w:pPr>
              <w:spacing w:before="40" w:after="40"/>
              <w:jc w:val="left"/>
            </w:pPr>
            <w:r>
              <w:rPr>
                <w:sz w:val="18"/>
                <w:szCs w:val="18"/>
                <w:color w:val="000000"/>
              </w:rPr>
              <w:t xml:space="preserve">Key differentiator</w:t>
            </w:r>
          </w:p>
        </w:tc>
        <w:tc>
          <w:tcPr>
            <w:tcW w:w="3000" w:type="pct"/>
            <w:shd w:val="clear" w:color="000000" w:fill="FFFFFF"/>
          </w:tcPr>
          <w:p>
            <w:pPr>
              <w:spacing w:before="40" w:after="40"/>
              <w:jc w:val="left"/>
            </w:pPr>
            <w:r>
              <w:rPr>
                <w:sz w:val="18"/>
                <w:szCs w:val="18"/>
                <w:color w:val="000000"/>
              </w:rPr>
              <w:t xml:space="preserve">The closed-loop refinement is per-event, autonomous, and production-grade — not an offline research process. This is the core novel claim for IP purposes.</w:t>
            </w:r>
          </w:p>
        </w:tc>
      </w:tr>
    </w:tbl>
    <w:p>
      <w:pPr>
        <w:jc w:val="left"/>
        <w:spacing w:before="0" w:after="100"/>
      </w:pPr>
      <w:r>
        <w:rPr>
          <w:sz w:val="10"/>
          <w:szCs w:val="10"/>
        </w:rPr>
        <w:t xml:space="preserve"> </w:t>
      </w:r>
    </w:p>
    <w:p>
      <w:pPr>
        <w:pBdr>
          <w:bottom w:val="single" w:sz="6" w:space="1" w:color="2E75B6"/>
        </w:pBdr>
        <w:spacing w:before="100" w:after="100"/>
      </w:pPr>
    </w:p>
    <w:p>
      <w:pPr>
        <w:jc w:val="left"/>
        <w:spacing w:before="0" w:after="80"/>
      </w:pPr>
      <w:r>
        <w:rPr>
          <w:b/>
          <w:sz w:val="18"/>
          <w:szCs w:val="18"/>
          <w:color w:val="595959"/>
        </w:rPr>
        <w:t xml:space="preserve">This two-stage training pattern — historical initial training plus autonomous, per-batch, closed-loop refinement — is consistent across all nine blend models. It is the strongest technical support for OmniBlend's IP position on autonomous model retraining without manual intervention. The data-acquisition learning of BAC-01 supports the claim for intelligent source selection; the savings formulas in SAE-05 support the claim for auditable, physics-grounded financial quantification; the rebalance solver in RSE-04 supports the claim for constraint-aware autonomous process correction. We recommend that claim language treat the self-improving training loop as a core, grade-independent feature of the invention.</w:t>
      </w:r>
    </w:p>
    <w:p>
      <w:pPr>
        <w:jc w:val="left"/>
        <w:spacing w:before="0" w:after="100"/>
      </w:pPr>
      <w:r>
        <w:rPr>
          <w:sz w:val="10"/>
          <w:szCs w:val="10"/>
        </w:rPr>
        <w:t xml:space="preserve"> </w:t>
      </w:r>
    </w:p>
    <w:p>
      <w:pPr>
        <w:jc w:val="center"/>
        <w:spacing w:before="0" w:after="40"/>
        <w:shd w:val="clear" w:color="auto" w:fill="1F3864"/>
      </w:pPr>
      <w:r>
        <w:rPr>
          <w:b/>
          <w:sz w:val="16"/>
          <w:szCs w:val="16"/>
          <w:color w:val="FFFFFF"/>
        </w:rPr>
        <w:t xml:space="preserve">COMMERCIAL IN CONFIDENCE  ·  PRIVILEGED &amp; CONFIDENTIAL  ·  PATENT FILING SUPPORT</w:t>
      </w:r>
    </w:p>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w:docDefaults>
    <w:rPrDefault>
      <w:rPr>
        <w:rFonts w:ascii="Calibri" w:hAnsi="Calibri" w:cs="Calibri"/>
        <w:sz w:val="19"/>
        <w:szCs w:val="19"/>
        <w:color w:val="000000"/>
      </w:rPr>
    </w:rPrDefault>
    <w:pPrDefault>
      <w:pPr>
        <w:spacing w:after="120"/>
      </w:pPr>
    </w:pPrDefault>
  </w:docDefaults>
  <w:style w:type="paragraph" w:styleId="Normal">
    <w:name w:val="Normal"/>
    <w:rPr>
      <w:rFonts w:ascii="Calibri" w:hAnsi="Calibri"/>
      <w:sz w:val="19"/>
      <w:szCs w:val="19"/>
    </w:rPr>
  </w:style>
  <w:style w:type="paragraph" w:styleId="Heading1">
    <w:name w:val="heading 1"/>
    <w:pPr>
      <w:keepNext/>
      <w:spacing w:before="240" w:after="60"/>
    </w:pPr>
    <w:rPr>
      <w:rFonts w:ascii="Calibri" w:hAnsi="Calibri"/>
      <w:b/>
      <w:sz w:val="28"/>
      <w:szCs w:val="28"/>
      <w:color w:val="1F3864"/>
    </w:rPr>
  </w:style>
  <w:style w:type="paragraph" w:styleId="Heading2">
    <w:name w:val="heading 2"/>
    <w:pPr>
      <w:keepNext/>
      <w:spacing w:before="200" w:after="60"/>
    </w:pPr>
    <w:rPr>
      <w:rFonts w:ascii="Calibri" w:hAnsi="Calibri"/>
      <w:b/>
      <w:sz w:val="24"/>
      <w:szCs w:val="24"/>
      <w:color w:val="2E75B6"/>
    </w:rPr>
  </w:style>
  <w:style w:type="paragraph" w:styleId="Heading3">
    <w:name w:val="heading 3"/>
    <w:pPr>
      <w:keepNext/>
      <w:spacing w:before="160" w:after="60"/>
    </w:pPr>
    <w:rPr>
      <w:rFonts w:ascii="Calibri" w:hAnsi="Calibri"/>
      <w:b/>
      <w:i/>
      <w:sz w:val="21"/>
      <w:szCs w:val="21"/>
      <w:color w:val="2E75B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