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OPC-UA TAG REGISTER &amp;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SCADA INTEGRATION ARCHITECTURE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Lube Oil Blending Plant — Document No: SCA-001 Rev 2.1</w:t>
      </w:r>
    </w:p>
    <w:p>
      <w:pPr>
        <w:pBdr>
          <w:bottom w:val="single" w:color="2E5FAC" w:sz="4" w:space="1"/>
        </w:pBdr>
        <w:spacing w:before="100" w:after="100"/>
      </w:pPr>
    </w:p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1. System Architecture Overview</w:t>
      </w:r>
    </w:p>
    <w:p>
      <w:pPr>
        <w:spacing w:before="140"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SCADA/IoT architecture follows a four-layer model: Field Layer (PLCs, sensors, actuators), Communication Layer (OPC-UA over TCP/IP, Ethernet), SCADA/HMI Layer (Ignition SCADA v8.1), and Cloud/Analytics Layer (Azure IoT Hub + Power BI). All inter-layer communication uses OPC-UA (IEC 62541) to ensure vendor-neutral, secure data exchange.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Components &amp; Details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Field Layer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3× Siemens S7-1500 PLCs (PLC-01, PLC-02, PLC-03), 1× Safety PLC (Siemens F-CPU). I/O: 248 analog inputs, 312 digital I/O. HART-enabled sensors throughout.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Industrial Ethernet (PROFINET). OPC-UA Server: Siemens S7 OPC-UA integrated server on each PLC. Baud: 100 Mbps. Polling interval: 1 second for process variables, 100 ms for safety.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SCADA / HMI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Ignition SCADA v8.1 by Inductive Automation. OPC-UA Client connects to all 3 PLCs. Tag historian: Ignition built-in + InfluxDB mirror. HMI screens: 14 (overview, per-vessel, tank farm, utilities, alarms).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Edge / Gateway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Dell Edge Gateway 3002 running Ignition Edge. Local buffering: 72 hours. MQTT Sparkplug-B to Azure IoT Hub. TLS 1.3 encryption.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Cloud / Analytics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Azure IoT Hub → Azure Stream Analytics → Azure Data Lake. Power BI dashboards for OEE, batch yield, alarm analytics. Retention: 7 years.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Historian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Canary Labs Axiom Historian. 1-second resolution. Connects to SAP via REST API for batch event correlation.</w:t>
            </w:r>
          </w:p>
        </w:tc>
      </w:tr>
    </w:tbl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2. OPC-UA Address Space Model</w:t>
      </w:r>
    </w:p>
    <w:p>
      <w:pPr>
        <w:spacing w:before="140"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OPC-UA address space follows the ISA-95 hierarchy: Plant → Area → Unit → Module → Tag. All nodes are typed using the OPC-UA Information Model and comply with OPC UA for Process Control (OPC 10000-9).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Server Endpoint: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opc.tcp://10.1.10.50:4840 (PLC-01), 10.1.10.51:4840 (PLC-02), 10.1.10.52:4840 (PLC-03)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Security Policy: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Basic256Sha256 / SignAndEncrypt — mandatory for all clients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Authentication: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X.509 certificate-based. No anonymous access permitted.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Namespace: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urn:lobp:plant:scada:v2</w:t>
      </w:r>
    </w:p>
    <w:p>
      <w:pPr>
        <w:spacing w:before="80" w:after="0"/>
      </w:pPr>
    </w:p>
    <w:p>
      <w:pPr>
        <w:pBdr>
          <w:left w:val="single" w:color="2E5FAC" w:sz="12" w:space="4"/>
        </w:pBdr>
        <w:shd w:fill="D6E4F7" w:val="clear"/>
        <w:spacing w:before="120" w:after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Node naming convention: ns=2;s=LOBP.&lt;Area&gt;.&lt;UnitID&gt;.&lt;TagFunction&gt;.&lt;Suffix&gt;  Example: ns=2;s=LOBP.BlendingHall.V101.Temperature.PV</w:t>
      </w:r>
    </w:p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2.1  OPC-UA Tag Register — Process Variables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800"/>
        <w:gridCol w:w="900"/>
        <w:gridCol w:w="1400"/>
        <w:gridCol w:w="1000"/>
        <w:gridCol w:w="1600"/>
        <w:gridCol w:w="6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 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OPC-UA Node Path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PLC / I/O Channel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V101-TI-01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V101/Temperature/Inlet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°C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Analog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30.0–85.0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±0.5°C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PLC-01 / Slot 3, Ch 1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V101-LI-01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V101/Level/PV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% fill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Analog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0–100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±0.2%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PLC-01 / Slot 3, Ch 2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V101-FI-01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V101/FlowRate/In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L/min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Analog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0–1,200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±0.5%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PLC-01 / Slot 4, Ch 1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V101-FT-01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V101/FlowTotaliser/In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Analog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0–9,999,999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PLC-01 / Slot 4, Ch 2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V101-AG-01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V101/Agitator/Speed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RPM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Analog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0–120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±1 RPM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PLC-01 / Slot 5, Ch 1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V101-AG-01-RUN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V101/Agitator/RunStatus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Digital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0/1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PLC-01 / Slot 5, Ch 2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P201-DI-01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P201/DifferentialPressure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Analog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0–10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±0.01 bar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PLC-02 / Slot 2, Ch 1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P201-ST-01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P201/PumpStatus/Run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Digital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0/1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PLC-02 / Slot 2, Ch 2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T08-LI-01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T08/Level/PV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% fill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Analog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0–100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±0.2%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PLC-03 / Slot 1, Ch 1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T08-TI-01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T08/Temperature/PV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°C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Analog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0–80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±0.5°C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PLC-03 / Slot 1, Ch 2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V102-PI-01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V102/Pressure/Vessel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barg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Analog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0–2.0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±0.01 bar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PLC-02 / Slot 3, Ch 1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PLANT-AL-01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Plant/Alarm/FireGas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Digital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0/1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Safety PLC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Active</w:t>
            </w:r>
          </w:p>
        </w:tc>
      </w:tr>
    </w:tbl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3. Alarm &amp; Event Configuration</w:t>
      </w:r>
    </w:p>
    <w:p>
      <w:pPr>
        <w:spacing w:before="140"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Alarm philosophy follows ISA-18.2. Priority levels are: Priority 1 (Safety/Emergency — immediate action), Priority 2 (Critical Process — action within 5 min), Priority 3 (Warning — action within 30 min), Priority 4 (Advisory — log only).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25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Alarm Tag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Setpoint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Required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V101-LI-01-HH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Blender V101 Level High-High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95% fill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P1 — Safety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Stop all inlet pumps immediately. Notify shift supervisor.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V101-TI-01-HH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Blender V101 Temperature High-High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90°C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P1 — Safety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Shut down agitator &amp; heating. Activate cooling. Evacuate area.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P201-ST-01-FAIL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Pump P201 Failure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Run=0 when commanded 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P2 — Critical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Switch to standby pump P202. Log fault. Call maintenance.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T08-LI-01-LL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FG Tank T08 Level Low-Low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5% fill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P3 — Warning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 production scheduler. Reduce fill rate from V102.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PLANT-AL-01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Fire &amp; Gas Detection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Any sensor active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P1 — Safety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Plant emergency shutdown (ESD). Call fire brigade. Evacuate.</w:t>
            </w:r>
          </w:p>
        </w:tc>
      </w:tr>
    </w:tbl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4. Data Integration — SCADA to SAP</w:t>
      </w:r>
    </w:p>
    <w:p>
      <w:pPr>
        <w:spacing w:before="140"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Batch events from the SCADA historian are passed to SAP PP-PI via a REST API integration layer (Middleware: MuleSoft). Key integration events include: Batch Start, Batch End, Yield Confirmation, QC Hold, and Equipment Downtime.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SAP Endpoint: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https://sap-erp.lobp.local/sap/opu/odata/sap/PP_PI_BATCH_SRV/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Authentication: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OAuth 2.0 (Client Credentials flow)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Frequency: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Event-driven (batch events), 1-minute polling for tank levels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Format: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OData v4 / JSON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C" w:sz="4" w:space="1"/>
      </w:pBdr>
      <w:tabs>
        <w:tab w:val="right" w:pos="9360"/>
      </w:tabs>
    </w:pPr>
    <w:r>
      <w:rPr>
        <w:rFonts w:ascii="Arial" w:cs="Arial" w:eastAsia="Arial" w:hAnsi="Arial"/>
        <w:color w:val="777777"/>
        <w:sz w:val="17"/>
        <w:szCs w:val="17"/>
      </w:rPr>
      <w:t xml:space="preserve">OPC-UA Tag Register &amp; SCADA Architecture  |  SCA-001  |  Rev 2.1</w:t>
    </w:r>
    <w:r>
      <w:rPr>
        <w:rFonts w:ascii="Arial" w:cs="Arial" w:eastAsia="Arial" w:hAnsi="Arial"/>
        <w:color w:val="777777"/>
        <w:sz w:val="17"/>
        <w:szCs w:val="17"/>
      </w:rPr>
      <w:t xml:space="preserve">	Page </w:t>
    </w:r>
    <w:fldSimple w:instr="PAGE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2E5FAC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E6B3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2026-03-26T05:28:41.333Z</dcterms:created>
  <dcterms:modified xsi:type="dcterms:W3CDTF">2026-03-26T05:28:41.333Z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