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OT CYBERSECURITY RISK ASSESSMENT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2D91"/>
          <w:sz w:val="26"/>
          <w:szCs w:val="26"/>
        </w:rPr>
        <w:t xml:space="preserve">Lube Oil Blending Plant — IEC 62443-3-2 Compliance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 No: CYB-RA-001  |  Rev 1.3  |  Assessment Date: 15-Jul-2024  |  Next Review: Jul-2025</w:t>
      </w:r>
    </w:p>
    <w:p>
      <w:pPr>
        <w:pBdr>
          <w:bottom w:val="single" w:color="5C2D91" w:sz="4" w:space="1"/>
        </w:pBdr>
        <w:spacing w:before="100" w:after="100"/>
      </w:pP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1. Assessment Scope &amp; Methodology</w:t>
      </w:r>
    </w:p>
    <w:p>
      <w:pPr>
        <w:spacing w:before="140" w:after="1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Security Risk Assessment (SRA) covers all Industrial Automation and Control System (IACS) assets at the Lube Oil Blending Plant. It follows the IEC 62443-3-2 methodology: asset identification, threat enumeration, vulnerability assessment, consequence analysis, risk calculation, and countermeasure definition.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Cybersecurity team + external consultant (CyberOT Solutions Pvt. Ltd.)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OT assets from field PLCs to cloud analytics. Excludes corporate IT (covered by ISO 27001).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 Matrix: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Likelihood (Low/Medium/High) × Consequence (Medium/High/Critical) = Risk Level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 Levels: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SL 1 (casual) → SL 4 (state-actor). Targets defined per zone below.</w:t>
      </w:r>
    </w:p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2. Zone &amp; Conduit Model (IEC 62443-3-2)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00"/>
        <w:gridCol w:w="6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SL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2D91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Controls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0 — Safety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Safety PLC, ESD system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4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Air-gapped. No IP connectivity. Physical access control only.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1 — Field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PLCs, sensors, actuators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2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PROFINET segmented. VLAN isolated. No internet access.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2 — Control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SCADA/HMI, Historian, Engineering WS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2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Firewall-separated from Zone 3. Jump server required.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3 —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MES, LIMS interface, Batch reporting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2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DMZ between OT and IT. Bi-directional firewall rules.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4 — Enterprise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ERP, Corporate IT, Email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1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Standard IT security policies. No direct OT access.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C2D91"/>
                <w:sz w:val="19"/>
                <w:szCs w:val="19"/>
              </w:rPr>
              <w:t xml:space="preserve">Zone 5 — Cloud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IoT Hub, Data Lake, Power BI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SL 2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E3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TLS 1.3 only. Managed identity. Azure Policy enforced.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3. Risk Register</w:t>
      </w:r>
    </w:p>
    <w:p>
      <w:pPr>
        <w:pBdr>
          <w:left w:val="single" w:color="2E5FAC" w:sz="12" w:space="4"/>
        </w:pBdr>
        <w:shd w:fill="D6E4F7" w:val="clear"/>
        <w:spacing w:before="120"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Risk Level = Likelihood × Consequence.  Critical = immediate action required.  High = action within 30 days.  Medium = action within 90 days.</w:t>
      </w:r>
    </w:p>
    <w:p>
      <w:pPr>
        <w:spacing w:before="80" w:after="0"/>
      </w:pPr>
    </w:p>
    <w:tbl>
      <w:tblPr>
        <w:tblW w:type="dxa" w:w="13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00"/>
        <w:gridCol w:w="900"/>
        <w:gridCol w:w="1000"/>
        <w:gridCol w:w="900"/>
        <w:gridCol w:w="2600"/>
        <w:gridCol w:w="1900"/>
        <w:gridCol w:w="9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Scenario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 Source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Countermeasures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IEC 62443 Ref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Unauthorised remote access to SCADA via VPN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External attacker / disgruntled employee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Enforce MFA on VPN. Network segmentation. Jump-server for OT access.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62443-3-3 SR 1.1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Malware introduced via USB on HMI station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Insider / contractor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USB port lockdown via endpoint policy. Whitelist only approved devices.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62443-4-2 CR 7.3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Unpatched PLC firmware — known CVEs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External / supply chain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Quarterly patch assessment. Vendor patch advisory subscription.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62443-2-3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Replay attack on OPC-UA session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Man-in-middle on OT network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OPC-UA Basic256Sha256 + SignAndEncrypt. Session timeout 30 min.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62443-3-3 SR 4.1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Denial of service on historian causing data loss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External DDoS / misconfiguration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Edge buffering 72h. Redundant network links. Rate limiting on APIs.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62443-3-3 SR 7.1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Tampering with batch formula data in SAP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Insider / privilege escalation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SAP role-based access. Change audit log. Formula approval workflow.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62443-2-1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Closed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Social engineering targeting control room staff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External attacker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Medium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Annual cybersecurity awareness training. Phishing simulation exercises.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62443-2-1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R-008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Compromise of cloud IoT Hub credentials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Supply chain / credential theft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Managed identity / no static keys. Azure Defender for IoT enabled.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IEC 62443-3-3 SR 5.2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Closed</w:t>
            </w:r>
          </w:p>
        </w:tc>
      </w:tr>
    </w:tbl>
    <w:p>
      <w:pPr>
        <w:spacing w:before="120" w:after="0"/>
      </w:pPr>
    </w:p>
    <w:p>
      <w:pPr>
        <w:pStyle w:val="Heading1"/>
      </w:pPr>
      <w:r>
        <w:rPr>
          <w:rFonts w:ascii="Arial" w:cs="Arial" w:eastAsia="Arial" w:hAnsi="Arial"/>
        </w:rPr>
        <w:t xml:space="preserve">4. Key Findings &amp; Recommendations</w:t>
      </w:r>
    </w:p>
    <w:p>
      <w:pPr>
        <w:pStyle w:val="Heading2"/>
      </w:pPr>
      <w:r>
        <w:rPr>
          <w:rFonts w:ascii="Arial" w:cs="Arial" w:eastAsia="Arial" w:hAnsi="Arial"/>
        </w:rPr>
        <w:t xml:space="preserve">4.1  Critical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Unauthorised remote access (R-001): Multi-factor authentication not yet enforced on all VPN accounts. Immediate remediation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Batch formula tampering (R-006): SAP role authorisations reviewed and tightened. Formula change workflow now requires dual approval. CLOSED.</w:t>
      </w:r>
    </w:p>
    <w:p>
      <w:pPr>
        <w:pStyle w:val="Heading2"/>
      </w:pPr>
      <w:r>
        <w:rPr>
          <w:rFonts w:ascii="Arial" w:cs="Arial" w:eastAsia="Arial" w:hAnsi="Arial"/>
        </w:rPr>
        <w:t xml:space="preserve">4.2  Open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R-001: MFA rollout scheduled for Q3-2024. Owner: IT Security Manager. Due: 30-Sep-2024.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R-003: PLC firmware patch assessment in progress. Siemens ProductCERT advisory subscribed. Due: 15-Oct-2024.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R-007: Cybersecurity awareness training scheduled for all OT staff. E-learning module under development. Due: 30-Nov-2024.</w:t>
      </w:r>
    </w:p>
    <w:sectPr>
      <w:head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7"/>
        <w:szCs w:val="17"/>
      </w:rPr>
      <w:t xml:space="preserve">OT Cybersecurity Risk Assessment — IEC 62443  |  CYB-RA-001  |  Rev 1.3</w:t>
    </w:r>
    <w:r>
      <w:rPr>
        <w:rFonts w:ascii="Arial" w:cs="Arial" w:eastAsia="Arial" w:hAnsi="Arial"/>
        <w:color w:val="777777"/>
        <w:sz w:val="17"/>
        <w:szCs w:val="17"/>
      </w:rPr>
      <w:t xml:space="preserve">	Page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C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2026-03-26T05:28:41.341Z</dcterms:created>
  <dcterms:modified xsi:type="dcterms:W3CDTF">2026-03-26T05:28:41.341Z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