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Spot-Check Humano — Rulebook Kódem v5.1</w:t>
      </w:r>
    </w:p>
    <w:p>
      <w:pPr>
        <w:jc w:val="center"/>
      </w:pPr>
      <w:r>
        <w:rPr>
          <w:i/>
          <w:sz w:val="26"/>
        </w:rPr>
        <w:t>Verificación final del Source-of-Truth</w:t>
      </w:r>
    </w:p>
    <w:p/>
    <w:p>
      <w:r>
        <w:rPr>
          <w:b/>
        </w:rPr>
        <w:t xml:space="preserve">Fecha solicitud: </w:t>
      </w:r>
      <w:r>
        <w:t>2026-04-18 22:18 UTC</w:t>
      </w:r>
    </w:p>
    <w:p>
      <w:r>
        <w:rPr>
          <w:b/>
        </w:rPr>
        <w:t xml:space="preserve">Solicitante automático: </w:t>
      </w:r>
      <w:r>
        <w:t xml:space="preserve">Árbitro LM-as-judge (Opus 4.7) marcó estas 8 páginas como </w:t>
      </w:r>
      <w:r>
        <w:rPr>
          <w:rFonts w:ascii="Consolas" w:hAnsi="Consolas"/>
        </w:rPr>
        <w:t>spot_check_human</w:t>
      </w:r>
    </w:p>
    <w:p>
      <w:r>
        <w:rPr>
          <w:b/>
        </w:rPr>
        <w:t xml:space="preserve">Tu trabajo: </w:t>
      </w:r>
      <w:r>
        <w:t xml:space="preserve">abrir el PDF y verificar cada punto crítico listado abajo. </w:t>
      </w:r>
      <w:r>
        <w:rPr>
          <w:b/>
        </w:rPr>
        <w:t xml:space="preserve">Tiempo estimado: </w:t>
      </w:r>
      <w:r>
        <w:t>5-15 min.</w:t>
      </w:r>
    </w:p>
    <w:p>
      <w:r>
        <w:rPr>
          <w:b/>
        </w:rPr>
        <w:t xml:space="preserve">PDF: </w:t>
      </w:r>
      <w:r>
        <w:rPr>
          <w:rFonts w:ascii="Consolas" w:hAnsi="Consolas"/>
          <w:sz w:val="20"/>
        </w:rPr>
        <w:t>/home/coder/Kodem/docs/rulebook-pdfs/rulebook-v5.1.pdf</w:t>
      </w:r>
    </w:p>
    <w:p/>
    <w:p>
      <w:pPr>
        <w:jc w:val="center"/>
      </w:pPr>
      <w:r>
        <w:t xml:space="preserve">— — — — — — — — — — — — — — — — — — — — — — — — — — — — — — </w:t>
      </w:r>
    </w:p>
    <w:p>
      <w:pPr>
        <w:pStyle w:val="Heading1"/>
      </w:pPr>
      <w:r>
        <w:t>Página 04 — ¿Qué es Kódem TCG?</w:t>
      </w:r>
    </w:p>
    <w:p>
      <w:pPr>
        <w:pStyle w:val="ListNumber"/>
      </w:pPr>
      <w:r>
        <w:rPr>
          <w:b/>
          <w:sz w:val="22"/>
        </w:rPr>
        <w:t>¿Existe un slogan/banner que dice "¡EVOCA, PROTEGE Y VENCE!"?</w:t>
      </w:r>
    </w:p>
    <w:p>
      <w:pPr>
        <w:ind w:left="720"/>
      </w:pPr>
      <w:r>
        <w:rPr>
          <w:i/>
          <w:sz w:val="20"/>
        </w:rPr>
        <w:t>El OCR lo capturó (mal escrito como "VEVAGE, PROTEGE Y VENCE!") pero el LLM lo omitió completamente. Si existe, ¿dice exactamente eso?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ListNumber"/>
      </w:pPr>
      <w:r>
        <w:rPr>
          <w:b/>
          <w:sz w:val="22"/>
        </w:rPr>
        <w:t>¿La palabra es 'convirtiéndote' o 'conviertiéndote' (con i extra)?</w:t>
      </w:r>
    </w:p>
    <w:p>
      <w:pPr>
        <w:ind w:left="720"/>
      </w:pPr>
      <w:r>
        <w:rPr>
          <w:i/>
          <w:sz w:val="20"/>
        </w:rPr>
        <w:t>LLM dice 'convirtiéndote' (correcto en español); OCR dice 'conviertiéndote' (con typo). Si el PDF tiene el typo, hay que preservarlo VERBATIM.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Heading1"/>
      </w:pPr>
      <w:r>
        <w:t>Página 05 — Partes de la carta</w:t>
      </w:r>
    </w:p>
    <w:p>
      <w:pPr>
        <w:pStyle w:val="ListNumber"/>
      </w:pPr>
      <w:r>
        <w:rPr>
          <w:b/>
          <w:sz w:val="22"/>
        </w:rPr>
        <w:t>Carta ejemplo "Ozet, Amante Lunar" — ¿en la imagen impresa se lee este texto?</w:t>
      </w:r>
    </w:p>
    <w:p>
      <w:pPr>
        <w:ind w:left="720"/>
      </w:pPr>
      <w:r>
        <w:rPr>
          <w:i/>
          <w:sz w:val="20"/>
        </w:rPr>
        <w:t>OCR lo capturó pero LLM lo omitió como bloque (solo lo metió en embedded_text de la figura).</w:t>
        <w:br/>
      </w:r>
      <w:r>
        <w:rPr>
          <w:i/>
          <w:sz w:val="20"/>
        </w:rPr>
        <w:t>• Activa: "Si esta carta ataca, cura 2 ptos. a una carta aliada."</w:t>
        <w:br/>
      </w:r>
      <w:r>
        <w:rPr>
          <w:i/>
          <w:sz w:val="20"/>
        </w:rPr>
        <w:t>• Costo: ?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ListNumber"/>
      </w:pPr>
      <w:r>
        <w:rPr>
          <w:b/>
          <w:sz w:val="22"/>
        </w:rPr>
        <w:t>¿Dice 'flora, fauna y minerales' o 'flora, fauna minerales' (sin la 'y')?</w:t>
      </w:r>
    </w:p>
    <w:p>
      <w:pPr>
        <w:ind w:left="720"/>
      </w:pPr>
      <w:r>
        <w:rPr>
          <w:i/>
          <w:sz w:val="20"/>
        </w:rPr>
        <w:t>LLM tiene la 'y'; OCR no la tiene.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Heading1"/>
      </w:pPr>
      <w:r>
        <w:t>Página 06 — Estadísticas de la carta</w:t>
      </w:r>
    </w:p>
    <w:p>
      <w:pPr>
        <w:pStyle w:val="ListNumber"/>
      </w:pPr>
      <w:r>
        <w:rPr>
          <w:b/>
          <w:sz w:val="22"/>
        </w:rPr>
        <w:t>Carta "Shugg, Serpiente Voraz" — ¿se ve impreso este texto?</w:t>
      </w:r>
    </w:p>
    <w:p>
      <w:pPr>
        <w:ind w:left="720"/>
      </w:pPr>
      <w:r>
        <w:rPr>
          <w:i/>
          <w:sz w:val="20"/>
        </w:rPr>
        <w:t>El LLM lo omitió. ¿Aparece la Pasiva Rápida + Costo en la imagen de la carta?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ListNumber"/>
      </w:pPr>
      <w:r>
        <w:rPr>
          <w:b/>
          <w:sz w:val="22"/>
        </w:rPr>
        <w:t>¿Dice 'eEnergla' o 'Energía' en el cierre del subtipo FERAL?</w:t>
      </w:r>
    </w:p>
    <w:p>
      <w:pPr>
        <w:ind w:left="720"/>
      </w:pPr>
      <w:r>
        <w:rPr>
          <w:i/>
          <w:sz w:val="20"/>
        </w:rPr>
        <w:t>OCR sugiere typo 'eEnergla', LLM normaliza a 'Energía'.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Heading1"/>
      </w:pPr>
      <w:r>
        <w:t>Página 14 — Espectros (Nánuk)</w:t>
      </w:r>
    </w:p>
    <w:p>
      <w:pPr>
        <w:pStyle w:val="ListNumber"/>
      </w:pPr>
      <w:r>
        <w:rPr>
          <w:b/>
          <w:sz w:val="22"/>
        </w:rPr>
        <w:t>¿Es 'Morfeica' (sin acento) o 'Morféica' (con acento)?</w:t>
      </w:r>
    </w:p>
    <w:p>
      <w:pPr>
        <w:ind w:left="720"/>
      </w:pPr>
      <w:r>
        <w:rPr>
          <w:i/>
          <w:sz w:val="20"/>
        </w:rPr>
        <w:t>Término propio del lore Kódem — ambos podrían ser válidos pero solo uno es el real. LLM lo escribió con acento; OCR sin acento.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Heading1"/>
      </w:pPr>
      <w:r>
        <w:t>Página 19 — Diagrama Estructura de turno</w:t>
      </w:r>
    </w:p>
    <w:p>
      <w:pPr>
        <w:pStyle w:val="ListNumber"/>
      </w:pPr>
      <w:r>
        <w:rPr>
          <w:b/>
          <w:sz w:val="22"/>
        </w:rPr>
        <w:t>El flowchart del turno — ¿coincide con lo descrito por el LLM?</w:t>
      </w:r>
    </w:p>
    <w:p>
      <w:pPr>
        <w:ind w:left="720"/>
      </w:pPr>
      <w:r>
        <w:rPr>
          <w:i/>
          <w:sz w:val="20"/>
        </w:rPr>
        <w:t>Es la página más visual. OCR falla porque es casi puro flowchart. LLM describió:</w:t>
        <w:br/>
      </w:r>
      <w:r>
        <w:rPr>
          <w:i/>
          <w:sz w:val="20"/>
        </w:rPr>
        <w:t>• Fase Previa → Fase Principal → Fase Final</w:t>
        <w:br/>
      </w:r>
      <w:r>
        <w:rPr>
          <w:i/>
          <w:sz w:val="20"/>
        </w:rPr>
        <w:t>• Con sub-fases</w:t>
        <w:br/>
      </w:r>
      <w:r>
        <w:rPr>
          <w:i/>
          <w:sz w:val="20"/>
        </w:rPr>
        <w:t>Compara con lo que ves en el PDF y reporta si falta algún nodo.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Heading1"/>
      </w:pPr>
      <w:r>
        <w:t>Página 32 — Restricciones (§6.8)</w:t>
      </w:r>
    </w:p>
    <w:p>
      <w:pPr>
        <w:pStyle w:val="ListNumber"/>
      </w:pPr>
      <w:r>
        <w:rPr>
          <w:b/>
          <w:sz w:val="22"/>
        </w:rPr>
        <w:t>Carta de venado — ¿se llama 'Tolei, Responsabilidad' o 'Telei, Responsabilidad'?</w:t>
      </w:r>
    </w:p>
    <w:p>
      <w:pPr>
        <w:ind w:left="720"/>
      </w:pPr>
      <w:r>
        <w:rPr>
          <w:i/>
          <w:sz w:val="20"/>
        </w:rPr>
        <w:t>Dos verificaciones de imagen lo leyeron como Telei pero LLM dice Tolei. Inconsistencia interna.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ListNumber"/>
      </w:pPr>
      <w:r>
        <w:rPr>
          <w:b/>
          <w:sz w:val="22"/>
        </w:rPr>
        <w:t>¿La palabra es 'enviar' o 'envíar' (con tilde)?</w:t>
      </w:r>
    </w:p>
    <w:p>
      <w:pPr>
        <w:ind w:left="720"/>
      </w:pPr>
      <w:r>
        <w:rPr>
          <w:i/>
          <w:sz w:val="20"/>
        </w:rPr>
        <w:t>OCR preserva 'envíar' con tilde; LLM normaliza a 'enviar'. Si el PDF tiene la tilde-typo, hay que preservarla.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Heading1"/>
      </w:pPr>
      <w:r>
        <w:t>Página 36 — Formato Manada/Extendido</w:t>
      </w:r>
    </w:p>
    <w:p>
      <w:pPr>
        <w:pStyle w:val="ListNumber"/>
      </w:pPr>
      <w:r>
        <w:rPr>
          <w:b/>
          <w:sz w:val="22"/>
        </w:rPr>
        <w:t>¿Las cartas en figs 02 y 03 tienen clasificación 'Adonde / Háumsca' o 'Adende'?</w:t>
      </w:r>
    </w:p>
    <w:p>
      <w:pPr>
        <w:ind w:left="720"/>
      </w:pPr>
      <w:r>
        <w:rPr>
          <w:i/>
          <w:sz w:val="20"/>
        </w:rPr>
        <w:t>El LLM dice 'Adonde', el árbitro sospecha que debería ser 'Adende'.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ListNumber"/>
      </w:pPr>
      <w:r>
        <w:rPr>
          <w:b/>
          <w:sz w:val="22"/>
        </w:rPr>
        <w:t>Inconsistencia entre páginas: ¿La carta 'Tekei' mencionada en p36 es la misma que 'Tolei/Telei' de p32?</w:t>
      </w:r>
    </w:p>
    <w:p>
      <w:pPr>
        <w:ind w:left="720"/>
      </w:pPr>
      <w:r>
        <w:rPr>
          <w:i/>
          <w:sz w:val="20"/>
        </w:rPr>
        <w:t>Verificar si es la misma carta referenciada con typos diferentes, o son cartas diferentes.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Heading1"/>
      </w:pPr>
      <w:r>
        <w:t>Página 40 — Glosario cierre + Créditos</w:t>
      </w:r>
    </w:p>
    <w:p>
      <w:pPr>
        <w:pStyle w:val="ListNumber"/>
      </w:pPr>
      <w:r>
        <w:rPr>
          <w:b/>
          <w:sz w:val="22"/>
        </w:rPr>
        <w:t>¿Hay un encabezado que diga "Créditos" entre las redes sociales y los nombres del equipo?</w:t>
      </w:r>
    </w:p>
    <w:p>
      <w:pPr>
        <w:ind w:left="720"/>
      </w:pPr>
      <w:r>
        <w:rPr>
          <w:i/>
          <w:sz w:val="20"/>
        </w:rPr>
        <w:t>OCR lo captura, LLM lo omitió.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pPr>
        <w:pStyle w:val="ListNumber"/>
      </w:pPr>
      <w:r>
        <w:rPr>
          <w:b/>
          <w:sz w:val="22"/>
        </w:rPr>
        <w:t>Copyright final — ¿dice 'Kódem TCG' o 'Kódem TCC'?</w:t>
      </w:r>
    </w:p>
    <w:p>
      <w:pPr>
        <w:ind w:left="720"/>
      </w:pPr>
      <w:r>
        <w:rPr>
          <w:i/>
          <w:sz w:val="20"/>
        </w:rPr>
        <w:t>OCR sugiere TCC pero podría ser degradación del OCR.</w:t>
        <w:br/>
      </w:r>
    </w:p>
    <w:p>
      <w:pPr>
        <w:ind w:left="720"/>
      </w:pPr>
      <w:r>
        <w:rPr>
          <w:b/>
          <w:color w:val="C00000"/>
        </w:rPr>
        <w:t xml:space="preserve">→ Tu respuesta: </w:t>
      </w:r>
      <w:r>
        <w:rPr>
          <w:color w:val="C00000"/>
        </w:rP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Plantilla de respuesta rápida (alternativa)</w:t>
      </w:r>
    </w:p>
    <w:p>
      <w:r>
        <w:rPr>
          <w:i/>
        </w:rPr>
        <w:t>Si prefieres, puedes responder por chat con esta plantilla pegada y completada:</w:t>
      </w:r>
    </w:p>
    <w:p/>
    <w:p>
      <w:r>
        <w:rPr>
          <w:rFonts w:ascii="Consolas" w:hAnsi="Consolas"/>
          <w:sz w:val="20"/>
        </w:rPr>
        <w:t>p04: 1) sí/no, dice exactamente "..."   2) ...</w:t>
        <w:br/>
        <w:t>p05: 1) ...   2) ...</w:t>
        <w:br/>
        <w:t>p06: 1) ...   2) ...</w:t>
        <w:br/>
        <w:t>p14: 1) ...</w:t>
        <w:br/>
        <w:t>p19: ok / corrección: ...</w:t>
        <w:br/>
        <w:t>p32: 1) ...   2) ...</w:t>
        <w:br/>
        <w:t>p36: 1) ...   2) ...</w:t>
        <w:br/>
        <w:t>p40: 1) ...   2) ...</w:t>
      </w:r>
    </w:p>
    <w:p/>
    <w:p/>
    <w:p>
      <w:r>
        <w:rPr>
          <w:b/>
          <w:sz w:val="22"/>
        </w:rPr>
        <w:t>Con tus respuestas hago el último pass de correcciones puntuales y cierro el master-rulebook-v5.1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