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Evidencias de ejecución del API Gateway y los microservicios</w:t>
      </w:r>
    </w:p>
    <w:p>
      <w:pPr>
        <w:jc w:val="center"/>
      </w:pPr>
      <w:r>
        <w:rPr>
          <w:b/>
          <w:sz w:val="28"/>
        </w:rPr>
        <w:t>Tarea Corta 2  Programación V</w:t>
      </w:r>
    </w:p>
    <w:tbl>
      <w:tblPr>
        <w:tblW w:type="auto" w:w="0"/>
        <w:tblLayout w:type="fixed"/>
        <w:tblLook w:firstColumn="1" w:firstRow="1" w:lastColumn="0" w:lastRow="0" w:noHBand="0" w:noVBand="1" w:val="04A0"/>
      </w:tblPr>
      <w:tblGrid>
        <w:gridCol w:w="2448"/>
        <w:gridCol w:w="7488"/>
      </w:tblGrid>
      <w:tr>
        <w:tc>
          <w:tcPr>
            <w:tcW w:type="dxa" w:w="4997"/>
            <w:shd w:fill="E8EEF7"/>
            <w:vAlign w:val="center"/>
          </w:tcPr>
          <w:p>
            <w:pPr>
              <w:spacing w:after="40" w:before="40"/>
            </w:pPr>
            <w:r>
              <w:rPr>
                <w:b/>
              </w:rPr>
              <w:t>Institución</w:t>
            </w:r>
          </w:p>
        </w:tc>
        <w:tc>
          <w:tcPr>
            <w:tcW w:type="dxa" w:w="4997"/>
            <w:vAlign w:val="center"/>
          </w:tcPr>
          <w:p>
            <w:pPr>
              <w:spacing w:after="40" w:before="40"/>
            </w:pPr>
            <w:r>
              <w:t>Colegio Universitario de Cartago</w:t>
            </w:r>
          </w:p>
        </w:tc>
      </w:tr>
      <w:tr>
        <w:tc>
          <w:tcPr>
            <w:tcW w:type="dxa" w:w="4997"/>
            <w:shd w:fill="E8EEF7"/>
            <w:vAlign w:val="center"/>
          </w:tcPr>
          <w:p>
            <w:pPr>
              <w:spacing w:after="40" w:before="40"/>
            </w:pPr>
            <w:r>
              <w:rPr>
                <w:b/>
              </w:rPr>
              <w:t>Docente</w:t>
            </w:r>
          </w:p>
        </w:tc>
        <w:tc>
          <w:tcPr>
            <w:tcW w:type="dxa" w:w="4997"/>
            <w:vAlign w:val="center"/>
          </w:tcPr>
          <w:p>
            <w:pPr>
              <w:spacing w:after="40" w:before="40"/>
            </w:pPr>
            <w:r>
              <w:t>Prof. Ing. Gabriel González Solano</w:t>
            </w:r>
          </w:p>
        </w:tc>
      </w:tr>
      <w:tr>
        <w:tc>
          <w:tcPr>
            <w:tcW w:type="dxa" w:w="4997"/>
            <w:shd w:fill="E8EEF7"/>
            <w:vAlign w:val="center"/>
          </w:tcPr>
          <w:p>
            <w:pPr>
              <w:spacing w:after="40" w:before="40"/>
            </w:pPr>
            <w:r>
              <w:rPr>
                <w:b/>
              </w:rPr>
              <w:t>Proyecto</w:t>
            </w:r>
          </w:p>
        </w:tc>
        <w:tc>
          <w:tcPr>
            <w:tcW w:type="dxa" w:w="4997"/>
            <w:vAlign w:val="center"/>
          </w:tcPr>
          <w:p>
            <w:pPr>
              <w:spacing w:after="40" w:before="40"/>
            </w:pPr>
            <w:r>
              <w:t>Arquitectura de microservicios con API Gateway y persistencia NoSQL</w:t>
            </w:r>
          </w:p>
        </w:tc>
      </w:tr>
      <w:tr>
        <w:tc>
          <w:tcPr>
            <w:tcW w:type="dxa" w:w="4997"/>
            <w:shd w:fill="E8EEF7"/>
            <w:vAlign w:val="center"/>
          </w:tcPr>
          <w:p>
            <w:pPr>
              <w:spacing w:after="40" w:before="40"/>
            </w:pPr>
            <w:r>
              <w:rPr>
                <w:b/>
              </w:rPr>
              <w:t>Integrantes</w:t>
            </w:r>
          </w:p>
        </w:tc>
        <w:tc>
          <w:tcPr>
            <w:tcW w:type="dxa" w:w="4997"/>
            <w:vAlign w:val="center"/>
          </w:tcPr>
          <w:p>
            <w:pPr>
              <w:spacing w:after="40" w:before="40"/>
            </w:pPr>
            <w:r>
              <w:t>Héctor Román Arrieta; Ramsés Aguilar Monge; Alejandro Morales; Fabián Espinoza Méndez; José Rodolfo Morales Calderón</w:t>
            </w:r>
          </w:p>
        </w:tc>
      </w:tr>
      <w:tr>
        <w:tc>
          <w:tcPr>
            <w:tcW w:type="dxa" w:w="4997"/>
            <w:shd w:fill="E8EEF7"/>
            <w:vAlign w:val="center"/>
          </w:tcPr>
          <w:p>
            <w:pPr>
              <w:spacing w:after="40" w:before="40"/>
            </w:pPr>
            <w:r>
              <w:rPr>
                <w:b/>
              </w:rPr>
              <w:t>Fecha de entrega</w:t>
            </w:r>
          </w:p>
        </w:tc>
        <w:tc>
          <w:tcPr>
            <w:tcW w:type="dxa" w:w="4997"/>
            <w:vAlign w:val="center"/>
          </w:tcPr>
          <w:p>
            <w:pPr>
              <w:spacing w:after="40" w:before="40"/>
            </w:pPr>
            <w:r>
              <w:t>15 de octubre de 2026</w:t>
            </w:r>
          </w:p>
        </w:tc>
      </w:tr>
      <w:tr>
        <w:tc>
          <w:tcPr>
            <w:tcW w:type="dxa" w:w="4997"/>
            <w:shd w:fill="E8EEF7"/>
            <w:vAlign w:val="center"/>
          </w:tcPr>
          <w:p>
            <w:pPr>
              <w:spacing w:after="40" w:before="40"/>
            </w:pPr>
            <w:r>
              <w:rPr>
                <w:b/>
              </w:rPr>
              <w:t>Repositorio del equipo</w:t>
            </w:r>
          </w:p>
        </w:tc>
        <w:tc>
          <w:tcPr>
            <w:tcW w:type="dxa" w:w="4997"/>
            <w:vAlign w:val="center"/>
          </w:tcPr>
          <w:p>
            <w:pPr>
              <w:spacing w:after="40" w:before="40"/>
            </w:pPr>
            <w:r>
              <w:t>github.com/Ramses573/Tarea2-ApiGateway</w:t>
            </w:r>
          </w:p>
        </w:tc>
      </w:tr>
    </w:tbl>
    <w:p/>
    <w:p>
      <w:pPr>
        <w:pStyle w:val="Heading1"/>
      </w:pPr>
      <w:r>
        <w:t>Propósito de las evidencias</w:t>
      </w:r>
    </w:p>
    <w:p>
      <w:r>
        <w:t>Este documento demuestra el funcionamiento del proyecto implementado en la carpeta GITHUB RAMSES. Las capturas fueron tomadas directamente en Postman mientras se ejecutaban solicitudes reales contra el API Gateway en el puerto 8080.</w:t>
      </w:r>
    </w:p>
    <w:p>
      <w:r>
        <w:t>En conjunto, las evidencias verifican la entrada única, el enrutamiento, la persistencia NoSQL, la comunicación entre servicios y la política de agregación solicitadas en la consigna.</w:t>
      </w:r>
    </w:p>
    <w:p>
      <w:pPr>
        <w:pStyle w:val="Heading1"/>
      </w:pPr>
      <w:r>
        <w:t>Resumen de cumplimiento</w:t>
      </w:r>
    </w:p>
    <w:tbl>
      <w:tblPr>
        <w:tblStyle w:val="TableGrid"/>
        <w:tblW w:type="auto" w:w="0"/>
        <w:tblLook w:firstColumn="1" w:firstRow="1" w:lastColumn="0" w:lastRow="0" w:noHBand="0" w:noVBand="1" w:val="04A0"/>
      </w:tblPr>
      <w:tblGrid>
        <w:gridCol w:w="3331"/>
        <w:gridCol w:w="3331"/>
        <w:gridCol w:w="3331"/>
      </w:tblGrid>
      <w:tr>
        <w:trPr>
          <w:tblHeader w:val="true"/>
        </w:trPr>
        <w:tc>
          <w:tcPr>
            <w:tcW w:type="dxa" w:w="3331"/>
            <w:shd w:fill="203864"/>
          </w:tcPr>
          <w:p>
            <w:r>
              <w:rPr>
                <w:b/>
                <w:color w:val="FFFFFF"/>
              </w:rPr>
              <w:t>Requisito</w:t>
            </w:r>
          </w:p>
        </w:tc>
        <w:tc>
          <w:tcPr>
            <w:tcW w:type="dxa" w:w="3331"/>
            <w:shd w:fill="203864"/>
          </w:tcPr>
          <w:p>
            <w:r>
              <w:rPr>
                <w:b/>
                <w:color w:val="FFFFFF"/>
              </w:rPr>
              <w:t>Evidencia</w:t>
            </w:r>
          </w:p>
        </w:tc>
        <w:tc>
          <w:tcPr>
            <w:tcW w:type="dxa" w:w="3331"/>
            <w:shd w:fill="203864"/>
          </w:tcPr>
          <w:p>
            <w:r>
              <w:rPr>
                <w:b/>
                <w:color w:val="FFFFFF"/>
              </w:rPr>
              <w:t>Resultado</w:t>
            </w:r>
          </w:p>
        </w:tc>
      </w:tr>
      <w:tr>
        <w:tc>
          <w:tcPr>
            <w:tcW w:type="dxa" w:w="3331"/>
          </w:tcPr>
          <w:p>
            <w:r>
              <w:t>Entrada única</w:t>
            </w:r>
          </w:p>
        </w:tc>
        <w:tc>
          <w:tcPr>
            <w:tcW w:type="dxa" w:w="3331"/>
          </w:tcPr>
          <w:p>
            <w:r>
              <w:t>Gateway en http://localhost:8080</w:t>
            </w:r>
          </w:p>
        </w:tc>
        <w:tc>
          <w:tcPr>
            <w:tcW w:type="dxa" w:w="3331"/>
          </w:tcPr>
          <w:p>
            <w:pPr>
              <w:jc w:val="center"/>
            </w:pPr>
            <w:r>
              <w:rPr>
                <w:b/>
              </w:rPr>
              <w:t>Cumple</w:t>
            </w:r>
          </w:p>
        </w:tc>
      </w:tr>
      <w:tr>
        <w:tc>
          <w:tcPr>
            <w:tcW w:type="dxa" w:w="3331"/>
            <w:shd w:fill="F4F7FB"/>
          </w:tcPr>
          <w:p>
            <w:r>
              <w:t>Routing</w:t>
            </w:r>
          </w:p>
        </w:tc>
        <w:tc>
          <w:tcPr>
            <w:tcW w:type="dxa" w:w="3331"/>
            <w:shd w:fill="F4F7FB"/>
          </w:tcPr>
          <w:p>
            <w:r>
              <w:t>/api/productos, /api/clientes y /api/ordenes</w:t>
            </w:r>
          </w:p>
        </w:tc>
        <w:tc>
          <w:tcPr>
            <w:tcW w:type="dxa" w:w="3331"/>
            <w:shd w:fill="F4F7FB"/>
          </w:tcPr>
          <w:p>
            <w:pPr>
              <w:jc w:val="center"/>
            </w:pPr>
            <w:r>
              <w:rPr>
                <w:b/>
              </w:rPr>
              <w:t>Cumple</w:t>
            </w:r>
          </w:p>
        </w:tc>
      </w:tr>
      <w:tr>
        <w:tc>
          <w:tcPr>
            <w:tcW w:type="dxa" w:w="3331"/>
          </w:tcPr>
          <w:p>
            <w:r>
              <w:t>Persistencia NoSQL</w:t>
            </w:r>
          </w:p>
        </w:tc>
        <w:tc>
          <w:tcPr>
            <w:tcW w:type="dxa" w:w="3331"/>
          </w:tcPr>
          <w:p>
            <w:r>
              <w:t>Datos recuperados desde MongoDB por cada servicio</w:t>
            </w:r>
          </w:p>
        </w:tc>
        <w:tc>
          <w:tcPr>
            <w:tcW w:type="dxa" w:w="3331"/>
          </w:tcPr>
          <w:p>
            <w:pPr>
              <w:jc w:val="center"/>
            </w:pPr>
            <w:r>
              <w:rPr>
                <w:b/>
              </w:rPr>
              <w:t>Cumple</w:t>
            </w:r>
          </w:p>
        </w:tc>
      </w:tr>
      <w:tr>
        <w:tc>
          <w:tcPr>
            <w:tcW w:type="dxa" w:w="3331"/>
            <w:shd w:fill="F4F7FB"/>
          </w:tcPr>
          <w:p>
            <w:r>
              <w:t>Comunicación inter-servicio</w:t>
            </w:r>
          </w:p>
        </w:tc>
        <w:tc>
          <w:tcPr>
            <w:tcW w:type="dxa" w:w="3331"/>
            <w:shd w:fill="F4F7FB"/>
          </w:tcPr>
          <w:p>
            <w:r>
              <w:t>Órdenes valida clientes y productos</w:t>
            </w:r>
          </w:p>
        </w:tc>
        <w:tc>
          <w:tcPr>
            <w:tcW w:type="dxa" w:w="3331"/>
            <w:shd w:fill="F4F7FB"/>
          </w:tcPr>
          <w:p>
            <w:pPr>
              <w:jc w:val="center"/>
            </w:pPr>
            <w:r>
              <w:rPr>
                <w:b/>
              </w:rPr>
              <w:t>Cumple</w:t>
            </w:r>
          </w:p>
        </w:tc>
      </w:tr>
      <w:tr>
        <w:tc>
          <w:tcPr>
            <w:tcW w:type="dxa" w:w="3331"/>
          </w:tcPr>
          <w:p>
            <w:r>
              <w:t>Agregación</w:t>
            </w:r>
          </w:p>
        </w:tc>
        <w:tc>
          <w:tcPr>
            <w:tcW w:type="dxa" w:w="3331"/>
          </w:tcPr>
          <w:p>
            <w:r>
              <w:t>/api/resumen-orden/:id y /api/dashboard</w:t>
            </w:r>
          </w:p>
        </w:tc>
        <w:tc>
          <w:tcPr>
            <w:tcW w:type="dxa" w:w="3331"/>
          </w:tcPr>
          <w:p>
            <w:pPr>
              <w:jc w:val="center"/>
            </w:pPr>
            <w:r>
              <w:rPr>
                <w:b/>
              </w:rPr>
              <w:t>Cumple</w:t>
            </w:r>
          </w:p>
        </w:tc>
      </w:tr>
      <w:tr>
        <w:tc>
          <w:tcPr>
            <w:tcW w:type="dxa" w:w="3331"/>
            <w:shd w:fill="F4F7FB"/>
          </w:tcPr>
          <w:p>
            <w:r>
              <w:t>Transformación</w:t>
            </w:r>
          </w:p>
        </w:tc>
        <w:tc>
          <w:tcPr>
            <w:tcW w:type="dxa" w:w="3331"/>
            <w:shd w:fill="F4F7FB"/>
          </w:tcPr>
          <w:p>
            <w:r>
              <w:t>Cabeceras de trazabilidad inyectadas por el Gateway</w:t>
            </w:r>
          </w:p>
        </w:tc>
        <w:tc>
          <w:tcPr>
            <w:tcW w:type="dxa" w:w="3331"/>
            <w:shd w:fill="F4F7FB"/>
          </w:tcPr>
          <w:p>
            <w:pPr>
              <w:jc w:val="center"/>
            </w:pPr>
            <w:r>
              <w:rPr>
                <w:b/>
              </w:rPr>
              <w:t>Cumple</w:t>
            </w:r>
          </w:p>
        </w:tc>
      </w:tr>
    </w:tbl>
    <w:p>
      <w:pPr>
        <w:sectPr>
          <w:footerReference w:type="default" r:id="rId15"/>
          <w:pgSz w:w="12240" w:h="15840"/>
          <w:pgMar w:top="1037" w:right="1123" w:bottom="979" w:left="1123" w:header="720" w:footer="720" w:gutter="0"/>
          <w:cols w:space="720"/>
          <w:docGrid w:linePitch="360"/>
        </w:sectPr>
      </w:pPr>
    </w:p>
    <w:p>
      <w:pPr>
        <w:pStyle w:val="Heading1"/>
      </w:pPr>
      <w:r>
        <w:t>Evidencia 1  Health Check ejecutado en Postman</w:t>
      </w:r>
    </w:p>
    <w:p>
      <w:r>
        <w:t>La solicitud GET /health responde 200 OK en Postman y confirma que el Gateway se encuentra UP en el puerto 8080.</w:t>
      </w:r>
    </w:p>
    <w:p>
      <w:pPr>
        <w:jc w:val="center"/>
      </w:pPr>
      <w:r>
        <w:drawing>
          <wp:inline xmlns:a="http://schemas.openxmlformats.org/drawingml/2006/main" xmlns:pic="http://schemas.openxmlformats.org/drawingml/2006/picture">
            <wp:extent cx="6263640" cy="3914775"/>
            <wp:docPr id="1" name="Picture 1"/>
            <wp:cNvGraphicFramePr>
              <a:graphicFrameLocks noChangeAspect="1"/>
            </wp:cNvGraphicFramePr>
            <a:graphic>
              <a:graphicData uri="http://schemas.openxmlformats.org/drawingml/2006/picture">
                <pic:pic>
                  <pic:nvPicPr>
                    <pic:cNvPr id="0" name="01_postman_health.png"/>
                    <pic:cNvPicPr/>
                  </pic:nvPicPr>
                  <pic:blipFill>
                    <a:blip r:embed="rId9"/>
                    <a:stretch>
                      <a:fillRect/>
                    </a:stretch>
                  </pic:blipFill>
                  <pic:spPr>
                    <a:xfrm>
                      <a:off x="0" y="0"/>
                      <a:ext cx="6263640" cy="3914775"/>
                    </a:xfrm>
                    <a:prstGeom prst="rect"/>
                  </pic:spPr>
                </pic:pic>
              </a:graphicData>
            </a:graphic>
          </wp:inline>
        </w:drawing>
      </w:r>
    </w:p>
    <w:p>
      <w:pPr>
        <w:pStyle w:val="FigureCaption"/>
        <w:jc w:val="center"/>
      </w:pPr>
      <w:r>
        <w:t>Figura 1. Prueba funcional ejecutada en Postman contra el proyecto local.</w:t>
      </w:r>
    </w:p>
    <w:p>
      <w:pPr>
        <w:sectPr>
          <w:pgSz w:w="12240" w:h="15840"/>
          <w:pgMar w:top="1037" w:right="1123" w:bottom="979" w:left="1123" w:header="720" w:footer="720" w:gutter="0"/>
          <w:cols w:space="720"/>
          <w:docGrid w:linePitch="360"/>
        </w:sectPr>
      </w:pPr>
    </w:p>
    <w:p>
      <w:pPr>
        <w:pStyle w:val="Heading1"/>
      </w:pPr>
      <w:r>
        <w:t>Evidencia 2  Consulta de productos en Postman</w:t>
      </w:r>
    </w:p>
    <w:p>
      <w:r>
        <w:t>La solicitud GET /api/productos se ejecuta mediante la URL unica del Gateway y devuelve el catalogo almacenado en MongoDB.</w:t>
      </w:r>
    </w:p>
    <w:p>
      <w:pPr>
        <w:jc w:val="center"/>
      </w:pPr>
      <w:r>
        <w:drawing>
          <wp:inline xmlns:a="http://schemas.openxmlformats.org/drawingml/2006/main" xmlns:pic="http://schemas.openxmlformats.org/drawingml/2006/picture">
            <wp:extent cx="6263640" cy="3914775"/>
            <wp:docPr id="2" name="Picture 2"/>
            <wp:cNvGraphicFramePr>
              <a:graphicFrameLocks noChangeAspect="1"/>
            </wp:cNvGraphicFramePr>
            <a:graphic>
              <a:graphicData uri="http://schemas.openxmlformats.org/drawingml/2006/picture">
                <pic:pic>
                  <pic:nvPicPr>
                    <pic:cNvPr id="0" name="02_postman_productos.png"/>
                    <pic:cNvPicPr/>
                  </pic:nvPicPr>
                  <pic:blipFill>
                    <a:blip r:embed="rId10"/>
                    <a:stretch>
                      <a:fillRect/>
                    </a:stretch>
                  </pic:blipFill>
                  <pic:spPr>
                    <a:xfrm>
                      <a:off x="0" y="0"/>
                      <a:ext cx="6263640" cy="3914775"/>
                    </a:xfrm>
                    <a:prstGeom prst="rect"/>
                  </pic:spPr>
                </pic:pic>
              </a:graphicData>
            </a:graphic>
          </wp:inline>
        </w:drawing>
      </w:r>
    </w:p>
    <w:p>
      <w:pPr>
        <w:pStyle w:val="FigureCaption"/>
        <w:jc w:val="center"/>
      </w:pPr>
      <w:r>
        <w:t>Figura 2. Prueba funcional ejecutada en Postman contra el proyecto local.</w:t>
      </w:r>
    </w:p>
    <w:p>
      <w:pPr>
        <w:sectPr>
          <w:pgSz w:w="12240" w:h="15840"/>
          <w:pgMar w:top="1037" w:right="1123" w:bottom="979" w:left="1123" w:header="720" w:footer="720" w:gutter="0"/>
          <w:cols w:space="720"/>
          <w:docGrid w:linePitch="360"/>
        </w:sectPr>
      </w:pPr>
    </w:p>
    <w:p>
      <w:pPr>
        <w:pStyle w:val="Heading1"/>
      </w:pPr>
      <w:r>
        <w:t>Evidencia 3  Consulta de clientes en Postman</w:t>
      </w:r>
    </w:p>
    <w:p>
      <w:r>
        <w:t>La solicitud GET /api/clientes responde 200 OK y demuestra el enrutamiento hacia el microservicio de clientes.</w:t>
      </w:r>
    </w:p>
    <w:p>
      <w:pPr>
        <w:jc w:val="center"/>
      </w:pPr>
      <w:r>
        <w:drawing>
          <wp:inline xmlns:a="http://schemas.openxmlformats.org/drawingml/2006/main" xmlns:pic="http://schemas.openxmlformats.org/drawingml/2006/picture">
            <wp:extent cx="6263640" cy="3914775"/>
            <wp:docPr id="3" name="Picture 3"/>
            <wp:cNvGraphicFramePr>
              <a:graphicFrameLocks noChangeAspect="1"/>
            </wp:cNvGraphicFramePr>
            <a:graphic>
              <a:graphicData uri="http://schemas.openxmlformats.org/drawingml/2006/picture">
                <pic:pic>
                  <pic:nvPicPr>
                    <pic:cNvPr id="0" name="03_postman_clientes.png"/>
                    <pic:cNvPicPr/>
                  </pic:nvPicPr>
                  <pic:blipFill>
                    <a:blip r:embed="rId11"/>
                    <a:stretch>
                      <a:fillRect/>
                    </a:stretch>
                  </pic:blipFill>
                  <pic:spPr>
                    <a:xfrm>
                      <a:off x="0" y="0"/>
                      <a:ext cx="6263640" cy="3914775"/>
                    </a:xfrm>
                    <a:prstGeom prst="rect"/>
                  </pic:spPr>
                </pic:pic>
              </a:graphicData>
            </a:graphic>
          </wp:inline>
        </w:drawing>
      </w:r>
    </w:p>
    <w:p>
      <w:pPr>
        <w:pStyle w:val="FigureCaption"/>
        <w:jc w:val="center"/>
      </w:pPr>
      <w:r>
        <w:t>Figura 3. Prueba funcional ejecutada en Postman contra el proyecto local.</w:t>
      </w:r>
    </w:p>
    <w:p>
      <w:pPr>
        <w:sectPr>
          <w:pgSz w:w="12240" w:h="15840"/>
          <w:pgMar w:top="1037" w:right="1123" w:bottom="979" w:left="1123" w:header="720" w:footer="720" w:gutter="0"/>
          <w:cols w:space="720"/>
          <w:docGrid w:linePitch="360"/>
        </w:sectPr>
      </w:pPr>
    </w:p>
    <w:p>
      <w:pPr>
        <w:pStyle w:val="Heading1"/>
      </w:pPr>
      <w:r>
        <w:t>Evidencia 4  Creacion de orden y comunicacion inter servicio</w:t>
      </w:r>
    </w:p>
    <w:p>
      <w:r>
        <w:t>La solicitud POST /api/ordenes responde 201 Created. Postman muestra la validacion del cliente y del producto realizada entre microservicios.</w:t>
      </w:r>
    </w:p>
    <w:p>
      <w:pPr>
        <w:jc w:val="center"/>
      </w:pPr>
      <w:r>
        <w:drawing>
          <wp:inline xmlns:a="http://schemas.openxmlformats.org/drawingml/2006/main" xmlns:pic="http://schemas.openxmlformats.org/drawingml/2006/picture">
            <wp:extent cx="6263640" cy="3914775"/>
            <wp:docPr id="4" name="Picture 4"/>
            <wp:cNvGraphicFramePr>
              <a:graphicFrameLocks noChangeAspect="1"/>
            </wp:cNvGraphicFramePr>
            <a:graphic>
              <a:graphicData uri="http://schemas.openxmlformats.org/drawingml/2006/picture">
                <pic:pic>
                  <pic:nvPicPr>
                    <pic:cNvPr id="0" name="04_postman_crear_orden.png"/>
                    <pic:cNvPicPr/>
                  </pic:nvPicPr>
                  <pic:blipFill>
                    <a:blip r:embed="rId12"/>
                    <a:stretch>
                      <a:fillRect/>
                    </a:stretch>
                  </pic:blipFill>
                  <pic:spPr>
                    <a:xfrm>
                      <a:off x="0" y="0"/>
                      <a:ext cx="6263640" cy="3914775"/>
                    </a:xfrm>
                    <a:prstGeom prst="rect"/>
                  </pic:spPr>
                </pic:pic>
              </a:graphicData>
            </a:graphic>
          </wp:inline>
        </w:drawing>
      </w:r>
    </w:p>
    <w:p>
      <w:pPr>
        <w:pStyle w:val="FigureCaption"/>
        <w:jc w:val="center"/>
      </w:pPr>
      <w:r>
        <w:t>Figura 4. Prueba funcional ejecutada en Postman contra el proyecto local.</w:t>
      </w:r>
    </w:p>
    <w:p>
      <w:pPr>
        <w:sectPr>
          <w:pgSz w:w="12240" w:h="15840"/>
          <w:pgMar w:top="1037" w:right="1123" w:bottom="979" w:left="1123" w:header="720" w:footer="720" w:gutter="0"/>
          <w:cols w:space="720"/>
          <w:docGrid w:linePitch="360"/>
        </w:sectPr>
      </w:pPr>
    </w:p>
    <w:p>
      <w:pPr>
        <w:pStyle w:val="Heading1"/>
      </w:pPr>
      <w:r>
        <w:t>Evidencia 5  Politica de agregacion BFF en Postman</w:t>
      </w:r>
    </w:p>
    <w:p>
      <w:r>
        <w:t>La solicitud GET /api/resumen-orden/:id devuelve en una sola respuesta la orden, el cliente y el detalle enriquecido del producto.</w:t>
      </w:r>
    </w:p>
    <w:p>
      <w:pPr>
        <w:jc w:val="center"/>
      </w:pPr>
      <w:r>
        <w:drawing>
          <wp:inline xmlns:a="http://schemas.openxmlformats.org/drawingml/2006/main" xmlns:pic="http://schemas.openxmlformats.org/drawingml/2006/picture">
            <wp:extent cx="6263640" cy="3914775"/>
            <wp:docPr id="5" name="Picture 5"/>
            <wp:cNvGraphicFramePr>
              <a:graphicFrameLocks noChangeAspect="1"/>
            </wp:cNvGraphicFramePr>
            <a:graphic>
              <a:graphicData uri="http://schemas.openxmlformats.org/drawingml/2006/picture">
                <pic:pic>
                  <pic:nvPicPr>
                    <pic:cNvPr id="0" name="05_postman_agregacion.png"/>
                    <pic:cNvPicPr/>
                  </pic:nvPicPr>
                  <pic:blipFill>
                    <a:blip r:embed="rId13"/>
                    <a:stretch>
                      <a:fillRect/>
                    </a:stretch>
                  </pic:blipFill>
                  <pic:spPr>
                    <a:xfrm>
                      <a:off x="0" y="0"/>
                      <a:ext cx="6263640" cy="3914775"/>
                    </a:xfrm>
                    <a:prstGeom prst="rect"/>
                  </pic:spPr>
                </pic:pic>
              </a:graphicData>
            </a:graphic>
          </wp:inline>
        </w:drawing>
      </w:r>
    </w:p>
    <w:p>
      <w:pPr>
        <w:pStyle w:val="FigureCaption"/>
        <w:jc w:val="center"/>
      </w:pPr>
      <w:r>
        <w:t>Figura 5. Prueba funcional ejecutada en Postman contra el proyecto local.</w:t>
      </w:r>
    </w:p>
    <w:p>
      <w:pPr>
        <w:sectPr>
          <w:pgSz w:w="12240" w:h="15840"/>
          <w:pgMar w:top="1037" w:right="1123" w:bottom="979" w:left="1123" w:header="720" w:footer="720" w:gutter="0"/>
          <w:cols w:space="720"/>
          <w:docGrid w:linePitch="360"/>
        </w:sectPr>
      </w:pPr>
    </w:p>
    <w:p>
      <w:pPr>
        <w:pStyle w:val="Heading1"/>
      </w:pPr>
      <w:r>
        <w:t>Evidencia 6  Cabeceras transformadas por el Gateway</w:t>
      </w:r>
    </w:p>
    <w:p>
      <w:r>
        <w:t>La vista Headers de Postman demuestra la inyeccion de X-Gateway-Processed-By y X-Request-Id como politica de trazabilidad.</w:t>
      </w:r>
    </w:p>
    <w:p>
      <w:pPr>
        <w:jc w:val="center"/>
      </w:pPr>
      <w:r>
        <w:drawing>
          <wp:inline xmlns:a="http://schemas.openxmlformats.org/drawingml/2006/main" xmlns:pic="http://schemas.openxmlformats.org/drawingml/2006/picture">
            <wp:extent cx="6263640" cy="3914775"/>
            <wp:docPr id="6" name="Picture 6"/>
            <wp:cNvGraphicFramePr>
              <a:graphicFrameLocks noChangeAspect="1"/>
            </wp:cNvGraphicFramePr>
            <a:graphic>
              <a:graphicData uri="http://schemas.openxmlformats.org/drawingml/2006/picture">
                <pic:pic>
                  <pic:nvPicPr>
                    <pic:cNvPr id="0" name="06_postman_headers.png"/>
                    <pic:cNvPicPr/>
                  </pic:nvPicPr>
                  <pic:blipFill>
                    <a:blip r:embed="rId14"/>
                    <a:stretch>
                      <a:fillRect/>
                    </a:stretch>
                  </pic:blipFill>
                  <pic:spPr>
                    <a:xfrm>
                      <a:off x="0" y="0"/>
                      <a:ext cx="6263640" cy="3914775"/>
                    </a:xfrm>
                    <a:prstGeom prst="rect"/>
                  </pic:spPr>
                </pic:pic>
              </a:graphicData>
            </a:graphic>
          </wp:inline>
        </w:drawing>
      </w:r>
    </w:p>
    <w:p>
      <w:pPr>
        <w:pStyle w:val="FigureCaption"/>
        <w:jc w:val="center"/>
      </w:pPr>
      <w:r>
        <w:t>Figura 6. Prueba funcional ejecutada en Postman contra el proyecto local.</w:t>
      </w:r>
    </w:p>
    <w:p>
      <w:pPr>
        <w:sectPr>
          <w:pgSz w:w="12240" w:h="15840"/>
          <w:pgMar w:top="1037" w:right="1123" w:bottom="979" w:left="1123" w:header="720" w:footer="720" w:gutter="0"/>
          <w:cols w:space="720"/>
          <w:docGrid w:linePitch="360"/>
        </w:sectPr>
      </w:pPr>
    </w:p>
    <w:p>
      <w:pPr>
        <w:pStyle w:val="Heading1"/>
      </w:pPr>
      <w:r>
        <w:t>Conclusión</w:t>
      </w:r>
    </w:p>
    <w:p>
      <w:r>
        <w:t>Las pruebas confirman que el API Gateway funciona como punto de entrada único y enruta correctamente las solicitudes hacia tres microservicios independientes. Las respuestas recuperan datos persistidos en MongoDB y conservan cabeceras de trazabilidad para identificar el procesamiento realizado por el Gateway.</w:t>
      </w:r>
    </w:p>
    <w:p>
      <w:r>
        <w:t>Los endpoints de resumen de orden y dashboard demuestran la composición de información proveniente de varios servicios. Con ello, el proyecto presenta evidencia verificable de los requisitos prácticos establecidos para la Tarea Corta 2.</w:t>
      </w:r>
    </w:p>
    <w:sectPr w:rsidR="00FC693F" w:rsidRPr="0006063C" w:rsidSect="00034616">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Programación V  Tarea Corta 2  Documento de evidencias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100" w:after="160"/>
    </w:pPr>
    <w:rPr>
      <w:rFonts w:ascii="Aptos" w:hAnsi="Aptos"/>
      <w:i/>
      <w:color w:val="4755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