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before="0" w:after="80"/>
      </w:pPr>
      <w:r>
        <w:rPr>
          <w:b/>
          <w:i w:val="0"/>
          <w:color w:val="336049"/>
          <w:sz w:val="44"/>
          <w:u w:val="none"/>
        </w:rPr>
        <w:t>MISH 06</w:t>
      </w:r>
    </w:p>
    <w:p>
      <w:pPr>
        <w:jc w:val="left"/>
        <w:spacing w:before="0" w:after="40"/>
      </w:pPr>
      <w:r>
        <w:rPr>
          <w:b/>
          <w:i w:val="0"/>
          <w:color w:val="336049"/>
          <w:sz w:val="32"/>
          <w:u w:val="none"/>
        </w:rPr>
        <w:t>Emergency Response</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04"/>
        <w:gridCol w:w="2304"/>
        <w:gridCol w:w="2304"/>
        <w:gridCol w:w="2304"/>
      </w:tblGrid>
      <w:tr>
        <w:tc>
          <w:tcPr>
            <w:tcW w:type="dxa" w:w="2304"/>
            <w:shd w:val="clear" w:color="auto" w:fill="2C5040"/>
            <w:vAlign w:val="center"/>
          </w:tcPr>
          <w:p>
            <w:pPr>
              <w:jc w:val="center"/>
              <w:spacing w:before="60" w:after="60"/>
            </w:pPr>
            <w:r>
              <w:rPr>
                <w:b/>
                <w:i w:val="0"/>
                <w:color w:val="FFFFFF"/>
                <w:sz w:val="18"/>
                <w:u w:val="none"/>
              </w:rPr>
              <w:t>DOCUMENT</w:t>
            </w:r>
          </w:p>
        </w:tc>
        <w:tc>
          <w:tcPr>
            <w:tcW w:type="dxa" w:w="2304"/>
            <w:shd w:val="clear" w:color="auto" w:fill="2C5040"/>
            <w:vAlign w:val="center"/>
          </w:tcPr>
          <w:p>
            <w:pPr>
              <w:jc w:val="center"/>
              <w:spacing w:before="60" w:after="60"/>
            </w:pPr>
            <w:r>
              <w:rPr>
                <w:b/>
                <w:i w:val="0"/>
                <w:color w:val="FFFFFF"/>
                <w:sz w:val="18"/>
                <w:u w:val="none"/>
              </w:rPr>
              <w:t>REVISION</w:t>
            </w:r>
          </w:p>
        </w:tc>
        <w:tc>
          <w:tcPr>
            <w:tcW w:type="dxa" w:w="2304"/>
            <w:shd w:val="clear" w:color="auto" w:fill="2C5040"/>
            <w:vAlign w:val="center"/>
          </w:tcPr>
          <w:p>
            <w:pPr>
              <w:jc w:val="center"/>
              <w:spacing w:before="60" w:after="60"/>
            </w:pPr>
            <w:r>
              <w:rPr>
                <w:b/>
                <w:i w:val="0"/>
                <w:color w:val="FFFFFF"/>
                <w:sz w:val="18"/>
                <w:u w:val="none"/>
              </w:rPr>
              <w:t>EFFECTIVE DATE</w:t>
            </w:r>
          </w:p>
        </w:tc>
        <w:tc>
          <w:tcPr>
            <w:tcW w:type="dxa" w:w="2304"/>
            <w:shd w:val="clear" w:color="auto" w:fill="2C5040"/>
            <w:vAlign w:val="center"/>
          </w:tcPr>
          <w:p>
            <w:pPr>
              <w:jc w:val="center"/>
              <w:spacing w:before="60" w:after="60"/>
            </w:pPr>
            <w:r>
              <w:rPr>
                <w:b/>
                <w:i w:val="0"/>
                <w:color w:val="FFFFFF"/>
                <w:sz w:val="18"/>
                <w:u w:val="none"/>
              </w:rPr>
              <w:t>APPROVED BY</w:t>
            </w:r>
          </w:p>
        </w:tc>
      </w:tr>
      <w:tr>
        <w:tc>
          <w:tcPr>
            <w:tcW w:type="dxa" w:w="2304"/>
            <w:shd w:val="clear" w:color="auto" w:fill="F0F0F0"/>
            <w:vAlign w:val="center"/>
          </w:tcPr>
          <w:p>
            <w:pPr>
              <w:jc w:val="center"/>
              <w:spacing w:before="60" w:after="60"/>
            </w:pPr>
            <w:r>
              <w:rPr>
                <w:b w:val="0"/>
                <w:i w:val="0"/>
                <w:sz w:val="20"/>
                <w:u w:val="none"/>
              </w:rPr>
              <w:t>MISH 06</w:t>
            </w:r>
          </w:p>
        </w:tc>
        <w:tc>
          <w:tcPr>
            <w:tcW w:type="dxa" w:w="2304"/>
            <w:shd w:val="clear" w:color="auto" w:fill="F0F0F0"/>
            <w:vAlign w:val="center"/>
          </w:tcPr>
          <w:p>
            <w:pPr>
              <w:jc w:val="center"/>
              <w:spacing w:before="60" w:after="60"/>
            </w:pPr>
            <w:r>
              <w:rPr>
                <w:b w:val="0"/>
                <w:i w:val="0"/>
                <w:sz w:val="20"/>
                <w:u w:val="none"/>
              </w:rPr>
              <w:t>2</w:t>
            </w:r>
          </w:p>
        </w:tc>
        <w:tc>
          <w:tcPr>
            <w:tcW w:type="dxa" w:w="2304"/>
            <w:shd w:val="clear" w:color="auto" w:fill="F0F0F0"/>
            <w:vAlign w:val="center"/>
          </w:tcPr>
          <w:p>
            <w:pPr>
              <w:jc w:val="center"/>
              <w:spacing w:before="60" w:after="60"/>
            </w:pPr>
            <w:r>
              <w:rPr>
                <w:b w:val="0"/>
                <w:i w:val="0"/>
                <w:sz w:val="20"/>
                <w:u w:val="none"/>
              </w:rPr>
              <w:t>04/07/2026</w:t>
            </w:r>
          </w:p>
        </w:tc>
        <w:tc>
          <w:tcPr>
            <w:tcW w:type="dxa" w:w="2304"/>
            <w:shd w:val="clear" w:color="auto" w:fill="F0F0F0"/>
            <w:vAlign w:val="center"/>
          </w:tcPr>
          <w:p>
            <w:pPr>
              <w:jc w:val="center"/>
              <w:spacing w:before="60" w:after="60"/>
            </w:pPr>
            <w:r>
              <w:rPr>
                <w:b w:val="0"/>
                <w:i w:val="0"/>
                <w:sz w:val="20"/>
                <w:u w:val="none"/>
              </w:rPr>
              <w:t>Jeremy Thamert</w:t>
            </w:r>
          </w:p>
        </w:tc>
      </w:tr>
    </w:tbl>
    <w:p/>
    <w:p>
      <w:pPr>
        <w:spacing w:before="200" w:after="80"/>
        <w:keepNext/>
      </w:pPr>
      <w:r>
        <w:rPr>
          <w:b/>
          <w:i w:val="0"/>
          <w:color w:val="336049"/>
          <w:sz w:val="26"/>
          <w:u w:val="none"/>
        </w:rPr>
        <w:t>﻿MH CONSTRUCTION INDUSTRIAL SAFETY AND HEALTH PROGRAM</w:t>
      </w:r>
    </w:p>
    <w:p>
      <w:pPr>
        <w:spacing w:before="140" w:after="60"/>
        <w:keepNext/>
      </w:pPr>
      <w:r>
        <w:rPr>
          <w:b/>
          <w:i w:val="0"/>
          <w:color w:val="336049"/>
          <w:sz w:val="22"/>
          <w:u w:val="none"/>
        </w:rPr>
        <w:t>Title</w:t>
      </w:r>
    </w:p>
    <w:p>
      <w:pPr>
        <w:spacing w:before="200" w:after="80"/>
        <w:keepNext/>
      </w:pPr>
      <w:r>
        <w:rPr>
          <w:b/>
          <w:i w:val="0"/>
          <w:color w:val="336049"/>
          <w:sz w:val="26"/>
          <w:u w:val="none"/>
        </w:rPr>
        <w:t>EMERGENCY RESPONSE</w:t>
      </w:r>
    </w:p>
    <w:p>
      <w:pPr>
        <w:spacing w:before="140" w:after="60"/>
        <w:keepNext/>
      </w:pPr>
      <w:r>
        <w:rPr>
          <w:b/>
          <w:i w:val="0"/>
          <w:color w:val="336049"/>
          <w:sz w:val="22"/>
          <w:u w:val="none"/>
        </w:rPr>
        <w:t>Number</w:t>
      </w:r>
    </w:p>
    <w:p>
      <w:pPr>
        <w:spacing w:before="200" w:after="80"/>
        <w:keepNext/>
      </w:pPr>
      <w:r>
        <w:rPr>
          <w:b/>
          <w:i w:val="0"/>
          <w:color w:val="336049"/>
          <w:sz w:val="26"/>
          <w:u w:val="none"/>
        </w:rPr>
        <w:t>MISH 06</w:t>
      </w:r>
    </w:p>
    <w:p>
      <w:pPr>
        <w:jc w:val="both"/>
        <w:spacing w:before="50" w:after="50" w:line="276" w:lineRule="auto"/>
        <w:ind w:left="720"/>
      </w:pPr>
      <w:r>
        <w:rPr>
          <w:b w:val="0"/>
          <w:i w:val="0"/>
          <w:sz w:val="22"/>
          <w:u w:val="none"/>
        </w:rPr>
        <w:t>Revision 1 Approved By Jeremy Thamert                                              03/01/2025 Name                                                      Date Effective Date 3/1/2025 Page 1 of 2</w:t>
      </w:r>
    </w:p>
    <w:p>
      <w:pPr>
        <w:spacing w:before="50" w:after="50" w:line="276" w:lineRule="auto"/>
        <w:ind w:left="720" w:hanging="720"/>
      </w:pPr>
      <w:r>
        <w:rPr>
          <w:b/>
          <w:i w:val="0"/>
          <w:sz w:val="22"/>
          <w:u w:val="none"/>
        </w:rPr>
        <w:t xml:space="preserve">1.0  </w:t>
      </w:r>
      <w:r>
        <w:rPr>
          <w:b w:val="0"/>
          <w:i w:val="0"/>
          <w:sz w:val="22"/>
          <w:u w:val="none"/>
        </w:rPr>
        <w:t>PURPOSE</w:t>
      </w:r>
    </w:p>
    <w:p>
      <w:pPr>
        <w:jc w:val="both"/>
        <w:spacing w:before="50" w:after="50" w:line="276" w:lineRule="auto"/>
        <w:ind w:left="720"/>
      </w:pPr>
      <w:r>
        <w:rPr>
          <w:b w:val="0"/>
          <w:i w:val="0"/>
          <w:sz w:val="22"/>
          <w:u w:val="none"/>
        </w:rPr>
        <w:t>To assist the Contractor in identifying, responding to, and reporting the various types of emergencies that may be encountered.  Furthermore, to ensure compliance with Occupational Safety and Health Administration/Washington Industrial Safety and health Act (OSHA/WISHA) requirements.</w:t>
      </w:r>
    </w:p>
    <w:p>
      <w:pPr>
        <w:spacing w:before="50" w:after="50" w:line="276" w:lineRule="auto"/>
        <w:ind w:left="720" w:hanging="720"/>
      </w:pPr>
      <w:r>
        <w:rPr>
          <w:b/>
          <w:i w:val="0"/>
          <w:sz w:val="22"/>
          <w:u w:val="none"/>
        </w:rPr>
        <w:t xml:space="preserve">2.0  </w:t>
      </w:r>
      <w:r>
        <w:rPr>
          <w:b w:val="0"/>
          <w:i w:val="0"/>
          <w:sz w:val="22"/>
          <w:u w:val="none"/>
        </w:rPr>
        <w:t>RESPONSIBILITY</w:t>
      </w:r>
    </w:p>
    <w:p>
      <w:pPr>
        <w:spacing w:before="50" w:after="50" w:line="276" w:lineRule="auto"/>
        <w:ind w:left="720" w:hanging="720"/>
      </w:pPr>
      <w:r>
        <w:rPr>
          <w:b/>
          <w:i w:val="0"/>
          <w:sz w:val="22"/>
          <w:u w:val="none"/>
        </w:rPr>
        <w:t xml:space="preserve">2.1  </w:t>
      </w:r>
      <w:r>
        <w:rPr>
          <w:b w:val="0"/>
          <w:i w:val="0"/>
          <w:sz w:val="22"/>
          <w:u w:val="none"/>
        </w:rPr>
        <w:t>Project Management is responsible for interacting with operating contractors to assist them in identifying additional emergency response signals and procedures that may be required in specific buildings or work areas.</w:t>
      </w:r>
    </w:p>
    <w:p>
      <w:pPr>
        <w:spacing w:before="50" w:after="50" w:line="276" w:lineRule="auto"/>
        <w:ind w:left="720" w:hanging="720"/>
      </w:pPr>
      <w:r>
        <w:rPr>
          <w:b/>
          <w:i w:val="0"/>
          <w:sz w:val="22"/>
          <w:u w:val="none"/>
        </w:rPr>
        <w:t xml:space="preserve">2.2  </w:t>
      </w:r>
      <w:r>
        <w:rPr>
          <w:b w:val="0"/>
          <w:i w:val="0"/>
          <w:sz w:val="22"/>
          <w:u w:val="none"/>
        </w:rPr>
        <w:t>The Key Supervisor shall be responsible for the following:</w:t>
      </w:r>
    </w:p>
    <w:p>
      <w:pPr>
        <w:spacing w:before="50" w:after="50" w:line="276" w:lineRule="auto"/>
        <w:ind w:left="720" w:hanging="720"/>
      </w:pPr>
      <w:r>
        <w:rPr>
          <w:b/>
          <w:i w:val="0"/>
          <w:sz w:val="22"/>
          <w:u w:val="none"/>
        </w:rPr>
        <w:t xml:space="preserve">2.2.1  </w:t>
      </w:r>
      <w:r>
        <w:rPr>
          <w:b w:val="0"/>
          <w:i w:val="0"/>
          <w:sz w:val="22"/>
          <w:u w:val="none"/>
        </w:rPr>
        <w:t>Ensuring that each employee is knowledgeable of the emergency response and notification requirements in the areas where contractor personnel are working.</w:t>
      </w:r>
    </w:p>
    <w:p>
      <w:pPr>
        <w:spacing w:before="50" w:after="50" w:line="276" w:lineRule="auto"/>
        <w:ind w:left="720" w:hanging="720"/>
      </w:pPr>
      <w:r>
        <w:rPr>
          <w:b/>
          <w:i w:val="0"/>
          <w:sz w:val="22"/>
          <w:u w:val="none"/>
        </w:rPr>
        <w:t xml:space="preserve">2.2.2  </w:t>
      </w:r>
      <w:r>
        <w:rPr>
          <w:b w:val="0"/>
          <w:i w:val="0"/>
          <w:sz w:val="22"/>
          <w:u w:val="none"/>
        </w:rPr>
        <w:t>Accounting for all contractor employees under emergency conditions.</w:t>
      </w:r>
    </w:p>
    <w:p>
      <w:pPr>
        <w:spacing w:before="50" w:after="50" w:line="276" w:lineRule="auto"/>
        <w:ind w:left="720" w:hanging="720"/>
      </w:pPr>
      <w:r>
        <w:rPr>
          <w:b/>
          <w:i w:val="0"/>
          <w:sz w:val="22"/>
          <w:u w:val="none"/>
        </w:rPr>
        <w:t xml:space="preserve">2.3  </w:t>
      </w:r>
      <w:r>
        <w:rPr>
          <w:b w:val="0"/>
          <w:i w:val="0"/>
          <w:sz w:val="22"/>
          <w:u w:val="none"/>
        </w:rPr>
        <w:t>Employees shall be responsible for the following:</w:t>
      </w:r>
    </w:p>
    <w:p>
      <w:pPr>
        <w:spacing w:before="50" w:after="50" w:line="276" w:lineRule="auto"/>
        <w:ind w:left="720" w:hanging="720"/>
      </w:pPr>
      <w:r>
        <w:rPr>
          <w:b/>
          <w:i w:val="0"/>
          <w:sz w:val="22"/>
          <w:u w:val="none"/>
        </w:rPr>
        <w:t xml:space="preserve">2.3.1  </w:t>
      </w:r>
      <w:r>
        <w:rPr>
          <w:b w:val="0"/>
          <w:i w:val="0"/>
          <w:sz w:val="22"/>
          <w:u w:val="none"/>
        </w:rPr>
        <w:t>Responding to all emergency signals and following directions.</w:t>
      </w:r>
    </w:p>
    <w:p>
      <w:pPr>
        <w:spacing w:before="50" w:after="50" w:line="276" w:lineRule="auto"/>
        <w:ind w:left="720" w:hanging="720"/>
      </w:pPr>
      <w:r>
        <w:rPr>
          <w:b/>
          <w:i w:val="0"/>
          <w:sz w:val="22"/>
          <w:u w:val="none"/>
        </w:rPr>
        <w:t xml:space="preserve">2.3.2  </w:t>
      </w:r>
      <w:r>
        <w:rPr>
          <w:b w:val="0"/>
          <w:i w:val="0"/>
          <w:sz w:val="22"/>
          <w:u w:val="none"/>
        </w:rPr>
        <w:t>Promptly proceeding to the staging area and reporting to their supervisor when required by the nature of the emergency.</w:t>
      </w:r>
    </w:p>
    <w:p>
      <w:pPr>
        <w:spacing w:before="50" w:after="50" w:line="276" w:lineRule="auto"/>
        <w:ind w:left="720" w:hanging="720"/>
      </w:pPr>
      <w:r>
        <w:rPr>
          <w:b/>
          <w:i w:val="0"/>
          <w:sz w:val="22"/>
          <w:u w:val="none"/>
        </w:rPr>
        <w:t xml:space="preserve">3.0  </w:t>
      </w:r>
      <w:r>
        <w:rPr>
          <w:b w:val="0"/>
          <w:i w:val="0"/>
          <w:sz w:val="22"/>
          <w:u w:val="none"/>
        </w:rPr>
        <w:t>DEFINITIONS</w:t>
      </w:r>
    </w:p>
    <w:p>
      <w:pPr>
        <w:spacing w:before="140" w:after="60"/>
        <w:keepNext/>
      </w:pPr>
      <w:r>
        <w:rPr>
          <w:b/>
          <w:i w:val="0"/>
          <w:color w:val="336049"/>
          <w:sz w:val="22"/>
          <w:u w:val="none"/>
        </w:rPr>
        <w:t>Not Applicable</w:t>
      </w:r>
    </w:p>
    <w:p>
      <w:pPr>
        <w:spacing w:before="50" w:after="50" w:line="276" w:lineRule="auto"/>
        <w:ind w:left="720" w:hanging="720"/>
      </w:pPr>
      <w:r>
        <w:rPr>
          <w:b/>
          <w:i w:val="0"/>
          <w:sz w:val="22"/>
          <w:u w:val="none"/>
        </w:rPr>
        <w:t xml:space="preserve">4.0  </w:t>
      </w:r>
      <w:r>
        <w:rPr>
          <w:b w:val="0"/>
          <w:i w:val="0"/>
          <w:sz w:val="22"/>
          <w:u w:val="none"/>
        </w:rPr>
        <w:t>GENERAL REQUIREMENTS</w:t>
      </w:r>
    </w:p>
    <w:p>
      <w:pPr>
        <w:spacing w:before="50" w:after="50" w:line="276" w:lineRule="auto"/>
        <w:ind w:left="720" w:hanging="720"/>
      </w:pPr>
      <w:r>
        <w:rPr>
          <w:b/>
          <w:i w:val="0"/>
          <w:sz w:val="22"/>
          <w:u w:val="none"/>
        </w:rPr>
        <w:t xml:space="preserve">4.1  </w:t>
      </w:r>
      <w:r>
        <w:rPr>
          <w:b w:val="0"/>
          <w:i w:val="0"/>
          <w:sz w:val="22"/>
          <w:u w:val="none"/>
        </w:rPr>
        <w:t>For purposes of this document, the following shall be considered as types of emergencies that may be encountered:</w:t>
      </w:r>
    </w:p>
    <w:p>
      <w:pPr>
        <w:jc w:val="both"/>
        <w:spacing w:before="50" w:after="50" w:line="276" w:lineRule="auto"/>
        <w:ind w:left="720"/>
      </w:pPr>
      <w:r>
        <w:rPr>
          <w:b w:val="0"/>
          <w:i w:val="0"/>
          <w:sz w:val="22"/>
          <w:u w:val="none"/>
        </w:rPr>
        <w:t></w:t>
        <w:tab/>
        <w:t>Personal (accident/injury) </w:t>
        <w:tab/>
        <w:t>Fire </w:t>
        <w:tab/>
        <w:t>Earthquake </w:t>
        <w:tab/>
        <w:t>Weather (severe cold, rain, snow, wind, etc.) </w:t>
        <w:tab/>
        <w:t>Hazardous material exposure </w:t>
        <w:tab/>
        <w:t>Cave-ins </w:t>
        <w:tab/>
        <w:t>Sabotage</w:t>
      </w:r>
    </w:p>
    <w:p>
      <w:pPr>
        <w:spacing w:before="50" w:after="50" w:line="276" w:lineRule="auto"/>
        <w:ind w:left="720" w:hanging="720"/>
      </w:pPr>
      <w:r>
        <w:rPr>
          <w:b/>
          <w:i w:val="0"/>
          <w:sz w:val="22"/>
          <w:u w:val="none"/>
        </w:rPr>
        <w:t xml:space="preserve">4.2  </w:t>
      </w:r>
      <w:r>
        <w:rPr>
          <w:b w:val="0"/>
          <w:i w:val="0"/>
          <w:sz w:val="22"/>
          <w:u w:val="none"/>
        </w:rPr>
        <w:t>To notify MH Construction, the Contractor shall call MH Construction, Construction Management  308-6489.</w:t>
      </w:r>
    </w:p>
    <w:p>
      <w:pPr>
        <w:spacing w:before="50" w:after="50" w:line="276" w:lineRule="auto"/>
        <w:ind w:left="720" w:hanging="720"/>
      </w:pPr>
      <w:r>
        <w:rPr>
          <w:b/>
          <w:i w:val="0"/>
          <w:sz w:val="22"/>
          <w:u w:val="none"/>
        </w:rPr>
        <w:t xml:space="preserve">4.3  </w:t>
      </w:r>
      <w:r>
        <w:rPr>
          <w:b w:val="0"/>
          <w:i w:val="0"/>
          <w:sz w:val="22"/>
          <w:u w:val="none"/>
        </w:rPr>
        <w:t>Contractor personnel at remote worksites shall have communication equipment to initiate effective emergency response and be notified of emergency situations.</w:t>
      </w:r>
    </w:p>
    <w:p>
      <w:pPr>
        <w:spacing w:before="50" w:after="50" w:line="276" w:lineRule="auto"/>
        <w:ind w:left="720" w:hanging="720"/>
      </w:pPr>
      <w:r>
        <w:rPr>
          <w:b/>
          <w:i w:val="0"/>
          <w:sz w:val="22"/>
          <w:u w:val="none"/>
        </w:rPr>
        <w:t xml:space="preserve">5.0  </w:t>
      </w:r>
      <w:r>
        <w:rPr>
          <w:b w:val="0"/>
          <w:i w:val="0"/>
          <w:sz w:val="22"/>
          <w:u w:val="none"/>
        </w:rPr>
        <w:t>PROCEDURE</w:t>
      </w:r>
    </w:p>
    <w:p>
      <w:pPr>
        <w:spacing w:before="50" w:after="50" w:line="276" w:lineRule="auto"/>
        <w:ind w:left="720" w:hanging="720"/>
      </w:pPr>
      <w:r>
        <w:rPr>
          <w:b/>
          <w:i w:val="0"/>
          <w:sz w:val="22"/>
          <w:u w:val="none"/>
        </w:rPr>
        <w:t xml:space="preserve">5.1  </w:t>
      </w:r>
      <w:r>
        <w:rPr>
          <w:b w:val="0"/>
          <w:i w:val="0"/>
          <w:sz w:val="22"/>
          <w:u w:val="none"/>
        </w:rPr>
        <w:t>During the employee orientation (refer to MISH 4, Safety and Health Orientation), the Key Supervisor shall orient employees to the emergency response and notification requirements.</w:t>
      </w:r>
    </w:p>
    <w:p>
      <w:pPr>
        <w:spacing w:before="50" w:after="50" w:line="276" w:lineRule="auto"/>
        <w:ind w:left="720" w:hanging="720"/>
      </w:pPr>
      <w:r>
        <w:rPr>
          <w:b/>
          <w:i w:val="0"/>
          <w:sz w:val="22"/>
          <w:u w:val="none"/>
        </w:rPr>
        <w:t xml:space="preserve">5.2  </w:t>
      </w:r>
      <w:r>
        <w:rPr>
          <w:b w:val="0"/>
          <w:i w:val="0"/>
          <w:sz w:val="22"/>
          <w:u w:val="none"/>
        </w:rPr>
        <w:t>Because of the number of facilities involved, specific information regarding staging areas, additional emergency response and notification requirements that may be applicable to some buildings or operations have not been provided.  Contact the MH Construction Project Management for specific information regarding requirements for each facility.</w:t>
      </w:r>
    </w:p>
    <w:p>
      <w:pPr>
        <w:spacing w:before="50" w:after="50" w:line="276" w:lineRule="auto"/>
        <w:ind w:left="720" w:hanging="720"/>
      </w:pPr>
      <w:r>
        <w:rPr>
          <w:b/>
          <w:i w:val="0"/>
          <w:sz w:val="22"/>
          <w:u w:val="none"/>
        </w:rPr>
        <w:t xml:space="preserve">5.3  </w:t>
      </w:r>
      <w:r>
        <w:rPr>
          <w:b w:val="0"/>
          <w:i w:val="0"/>
          <w:sz w:val="22"/>
          <w:u w:val="none"/>
        </w:rPr>
        <w:t>For all work locations, the key supervisor shall coordinate with the owner of the facility to identify staging areas, and emergency signal.  If staging areas have not been identified the key supervisor shall identify the staging area and emergency signals for the specific job site.</w:t>
      </w:r>
    </w:p>
    <w:p>
      <w:pPr>
        <w:spacing w:before="50" w:after="50" w:line="276" w:lineRule="auto"/>
        <w:ind w:left="720" w:hanging="720"/>
      </w:pPr>
      <w:r>
        <w:rPr>
          <w:b/>
          <w:i w:val="0"/>
          <w:sz w:val="22"/>
          <w:u w:val="none"/>
        </w:rPr>
        <w:t xml:space="preserve">6.0  </w:t>
      </w:r>
      <w:r>
        <w:rPr>
          <w:b w:val="0"/>
          <w:i w:val="0"/>
          <w:sz w:val="22"/>
          <w:u w:val="none"/>
        </w:rPr>
        <w:t>RECORDS</w:t>
      </w:r>
    </w:p>
    <w:p>
      <w:pPr>
        <w:spacing w:before="140" w:after="60"/>
        <w:keepNext/>
      </w:pPr>
      <w:r>
        <w:rPr>
          <w:b/>
          <w:i w:val="0"/>
          <w:color w:val="336049"/>
          <w:sz w:val="22"/>
          <w:u w:val="none"/>
        </w:rPr>
        <w:t>Not applicable</w:t>
      </w:r>
    </w:p>
    <w:p>
      <w:pPr>
        <w:spacing w:before="50" w:after="50" w:line="276" w:lineRule="auto"/>
        <w:ind w:left="720" w:hanging="720"/>
      </w:pPr>
      <w:r>
        <w:rPr>
          <w:b/>
          <w:i w:val="0"/>
          <w:sz w:val="22"/>
          <w:u w:val="none"/>
        </w:rPr>
        <w:t xml:space="preserve">7.0  </w:t>
      </w:r>
      <w:r>
        <w:rPr>
          <w:b w:val="0"/>
          <w:i w:val="0"/>
          <w:sz w:val="22"/>
          <w:u w:val="none"/>
        </w:rPr>
        <w:t>REFERENCES</w:t>
      </w:r>
    </w:p>
    <w:p>
      <w:pPr>
        <w:jc w:val="both"/>
        <w:spacing w:before="50" w:after="50" w:line="276" w:lineRule="auto"/>
        <w:ind w:left="720"/>
      </w:pPr>
      <w:r>
        <w:rPr>
          <w:b w:val="0"/>
          <w:i w:val="0"/>
          <w:sz w:val="22"/>
          <w:u w:val="none"/>
        </w:rPr>
        <w:t>29 CFR 1926</w:t>
        <w:tab/>
        <w:tab/>
        <w:t>Safety and Health Regulations for Construction (OSHA)</w:t>
      </w:r>
    </w:p>
    <w:p>
      <w:pPr>
        <w:spacing w:before="140" w:after="60"/>
        <w:keepNext/>
      </w:pPr>
      <w:r>
        <w:rPr>
          <w:b/>
          <w:i w:val="0"/>
          <w:color w:val="336049"/>
          <w:sz w:val="22"/>
          <w:u w:val="none"/>
        </w:rPr>
        <w:t>WAC 296-155</w:t>
        <w:tab/>
        <w:t>Safety Standards for Construction Work (WISHA)</w:t>
      </w:r>
    </w:p>
    <w:p>
      <w:pPr>
        <w:spacing w:before="50" w:after="50" w:line="276" w:lineRule="auto"/>
        <w:ind w:left="720" w:hanging="720"/>
      </w:pPr>
      <w:r>
        <w:rPr>
          <w:b/>
          <w:i w:val="0"/>
          <w:sz w:val="22"/>
          <w:u w:val="none"/>
        </w:rPr>
        <w:t xml:space="preserve">8.0  </w:t>
      </w:r>
      <w:r>
        <w:rPr>
          <w:b w:val="0"/>
          <w:i w:val="0"/>
          <w:sz w:val="22"/>
          <w:u w:val="none"/>
        </w:rPr>
        <w:t>ATTACHMENTS</w:t>
      </w:r>
    </w:p>
    <w:p>
      <w:pPr>
        <w:spacing w:before="140" w:after="60"/>
        <w:keepNext/>
      </w:pPr>
      <w:r>
        <w:rPr>
          <w:b/>
          <w:i w:val="0"/>
          <w:color w:val="336049"/>
          <w:sz w:val="22"/>
          <w:u w:val="none"/>
        </w:rPr>
        <w:t>Not Applicable</w:t>
      </w:r>
    </w:p>
    <w:sectPr w:rsidR="00FC693F" w:rsidRPr="0006063C" w:rsidSect="00034616">
      <w:headerReference w:type="default" r:id="rId9"/>
      <w:footerReference w:type="default" r:id="rId10"/>
      <w:pgSz w:w="12240" w:h="15840"/>
      <w:pgMar w:top="1440" w:right="1080" w:bottom="1440" w:left="19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C4CCCBE-DA0D-4DF1-89DC-ABEEAFCA08F7}"/>
</file>

<file path=customXml/itemProps3.xml><?xml version="1.0" encoding="utf-8"?>
<ds:datastoreItem xmlns:ds="http://schemas.openxmlformats.org/officeDocument/2006/customXml" ds:itemID="{66EE78DA-5D29-4D1E-BB71-9CE1AA41F98C}"/>
</file>

<file path=customXml/itemProps4.xml><?xml version="1.0" encoding="utf-8"?>
<ds:datastoreItem xmlns:ds="http://schemas.openxmlformats.org/officeDocument/2006/customXml" ds:itemID="{55D8FF22-8011-4EDC-9F3E-CB67F8E28A2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