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47 — Insurance Requirements &amp; Contractual Risk Transfer</w:t>
      </w:r>
    </w:p>
    <w:p>
      <w:pPr>
        <w:spacing w:before="0" w:after="20"/>
      </w:pPr>
      <w:r>
        <w:rPr>
          <w:color w:val="333333"/>
          <w:sz w:val="18"/>
        </w:rPr>
        <w:t>Chapter 7: Subcontractor &amp; Contract Management  |  29 CFR 1926.16  |  Travelers Audit Rec 26-2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47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pPr>
              <w:spacing w:before="60" w:after="30"/>
            </w:pPr>
            <w:r>
              <w:rPr>
                <w:b/>
                <w:color w:val="8B0000"/>
                <w:sz w:val="22"/>
              </w:rPr>
              <w:t>TRAVELERS AUDIT FINDING 26-2 — ACTION REQUIRED</w:t>
            </w:r>
          </w:p>
          <w:p>
            <w:pPr>
              <w:spacing w:before="20" w:after="20"/>
            </w:pPr>
            <w:r>
              <w:rPr>
                <w:sz w:val="20"/>
              </w:rPr>
              <w:t>MHC subcontracts were missing best practice risk transfer elements as of the</w:t>
            </w:r>
          </w:p>
          <w:p>
            <w:pPr>
              <w:spacing w:before="20" w:after="20"/>
            </w:pPr>
            <w:r>
              <w:rPr>
                <w:sz w:val="20"/>
              </w:rPr>
              <w:t>April 8, 2026 Travelers Risk Control consultation.</w:t>
            </w:r>
          </w:p>
          <w:p>
            <w:pPr>
              <w:spacing w:before="20" w:after="20"/>
            </w:pPr>
            <w:r>
              <w:rPr>
                <w:sz w:val="20"/>
              </w:rPr>
              <w:t>Specifically: CGL/Umbrella coverage with completed operations and Additional</w:t>
            </w:r>
          </w:p>
          <w:p>
            <w:pPr>
              <w:spacing w:before="20" w:after="20"/>
            </w:pPr>
            <w:r>
              <w:rPr>
                <w:sz w:val="20"/>
              </w:rPr>
              <w:t>Insured status through the statute of repose was not required.</w:t>
            </w:r>
          </w:p>
          <w:p>
            <w:pPr>
              <w:spacing w:before="20" w:after="20"/>
            </w:pPr>
            <w:r>
              <w:rPr>
                <w:sz w:val="20"/>
              </w:rPr>
              <w:t>This section establishes the MHC contractual risk transfer standard.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1.1  </w:t>
      </w:r>
      <w:r>
        <w:rPr>
          <w:b w:val="0"/>
          <w:sz w:val="22"/>
        </w:rPr>
        <w:t>Effective contractual risk transfer protects MH Construction from liability resulting from subcontractor operations and requires subcontractors to take financial responsibility for their own exposures.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1.2  </w:t>
      </w:r>
      <w:r>
        <w:rPr>
          <w:b w:val="0"/>
          <w:sz w:val="22"/>
        </w:rPr>
        <w:t>All MHC subcontracts must include the insurance requirements defined in this section. Review with your insurance agent (Hub International Northwest) and legal counsel before finalizing any subcontract.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REQUIRED SUBCONTRACTOR INSURANCE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Coverage Type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Minimum Limit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Additional Insured Required?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Commercial General Liability (CGL)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$1,000,000 per occurrence / $2,000,000 aggregate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Yes — MHC as AI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Project + statute of repose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Commercial Umbrella / Excess Liability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$1,000,000 minimum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Yes — MHC as AI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Project + statute of repose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Workers Compensation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Statutory limits (WA)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Duration of work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Employers Liability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$500,000 each accident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N/A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Duration of work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Commercial Auto Liability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$1,000,000 combined single limit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Yes — MHC as AI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Duration of work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Completed Operations Coverage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Included in CGL/Umbrella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Yes — MHC as AI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Statute of repose (WA = 6 years)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3.0  CONTRACT REQUIREMENTS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3.1  </w:t>
      </w:r>
      <w:r>
        <w:rPr>
          <w:b w:val="0"/>
          <w:sz w:val="22"/>
        </w:rPr>
        <w:t>All subcontracts must require subcontractors to name MH Construction, Inc. as an Additional Insured on their CGL, Umbrella, and Auto policies.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  </w:t>
      </w:r>
      <w:r>
        <w:rPr>
          <w:b w:val="0"/>
          <w:sz w:val="22"/>
        </w:rPr>
        <w:t>Certificates of Insurance (COI) must be obtained from all subcontractors before work begins. COIs must be reviewed by the Safety Officer and retained in the project file.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3.3  </w:t>
      </w:r>
      <w:r>
        <w:rPr>
          <w:b w:val="0"/>
          <w:sz w:val="22"/>
        </w:rPr>
        <w:t>Subcontractors must provide 30 days written notice to MHC prior to cancellation or material change of any required insurance coverage.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3.4  </w:t>
      </w:r>
      <w:r>
        <w:rPr>
          <w:b w:val="0"/>
          <w:sz w:val="22"/>
        </w:rPr>
        <w:t>Completed operations coverage must remain in force for the duration of the Washington State statute of repose (6 years from substantial completion).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3.5  </w:t>
      </w:r>
      <w:r>
        <w:rPr>
          <w:b w:val="0"/>
          <w:sz w:val="22"/>
        </w:rPr>
        <w:t>Review subcontract insurance requirements with Hub International Northwest LLC (Justin Hudon) and legal counsel at least annually.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4.0  INDEMNIFICATION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  </w:t>
      </w:r>
      <w:r>
        <w:rPr>
          <w:b w:val="0"/>
          <w:sz w:val="22"/>
        </w:rPr>
        <w:t>All subcontracts must include a broad-form indemnification clause requiring the subcontractor to defend, indemnify, and hold harmless MH Construction from claims arising from the subcontractor's work.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  </w:t>
      </w:r>
      <w:r>
        <w:rPr>
          <w:b w:val="0"/>
          <w:sz w:val="22"/>
        </w:rPr>
        <w:t>Indemnification language must be reviewed by legal counsel to ensure compliance with Washington State anti-indemnity statutes (RCW 4.24.115).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https://www.travelers.com/resources/construction/contractual-risk-transfer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4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5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p>
      <w:pPr>
        <w:spacing w:before="20" w:after="20"/>
      </w:pPr>
      <w:r>
        <w:rPr>
          <w:b/>
        </w:rPr>
        <w:t xml:space="preserve">Travelers Contractual Risk Transfer: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https://www.travelers.com/resources/construction/contractual-risk-transfer</w:t>
        </w:r>
      </w:hyperlink>
    </w:p>
    <w:p>
      <w:pPr>
        <w:spacing w:before="20" w:after="20"/>
      </w:pPr>
      <w:r>
        <w:rPr>
          <w:b/>
        </w:rPr>
        <w:t xml:space="preserve">Travelers Risk Control Portal: </w:t>
      </w:r>
      <w:hyperlink r:id="rId16">
        <w:r>
          <w:rPr>
            <w:rStyle w:val="Hyperlink"/>
            <w:color w:val="0563C1"/>
            <w:u w:val="single"/>
          </w:rPr>
          <w:t xml:space="preserve">https://www.travelers.com/risk-control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www.travelers.com/risk-control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esources/construction/contractual-risk-transfer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ni.wa.gov/safety-health/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agc.org/learn/education-training/safety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A633A3-2E52-4714-A248-1A991208518B}"/>
</file>

<file path=customXml/itemProps3.xml><?xml version="1.0" encoding="utf-8"?>
<ds:datastoreItem xmlns:ds="http://schemas.openxmlformats.org/officeDocument/2006/customXml" ds:itemID="{3297AFC6-C552-49DF-837B-C6BCEE3AF4E4}"/>
</file>

<file path=customXml/itemProps4.xml><?xml version="1.0" encoding="utf-8"?>
<ds:datastoreItem xmlns:ds="http://schemas.openxmlformats.org/officeDocument/2006/customXml" ds:itemID="{401C9B17-AC91-4F53-8841-12DD625366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